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635A2" w:rsidR="002C2E29" w:rsidP="00E635A2" w:rsidRDefault="004033D8" w14:paraId="7F6961A1" w14:textId="77777777">
      <w:pPr>
        <w:jc w:val="right"/>
        <w:rPr>
          <w:b/>
          <w:bCs/>
          <w:sz w:val="20"/>
          <w:szCs w:val="20"/>
        </w:rPr>
      </w:pPr>
      <w:r w:rsidRPr="00E635A2">
        <w:rPr>
          <w:rFonts w:hint="cs"/>
          <w:sz w:val="20"/>
          <w:szCs w:val="20"/>
          <w:rtl/>
        </w:rPr>
        <w:t xml:space="preserve">מספר פנימי: </w:t>
      </w:r>
      <w:bookmarkStart w:name="LGS_Internal_ID" w:id="0"/>
      <w:r>
        <w:rPr>
          <w:rFonts w:hint="cs"/>
          <w:sz w:val="20"/>
          <w:szCs w:val="20"/>
          <w:rtl/>
        </w:rPr>
        <w:t>2157192</w:t>
      </w:r>
      <w:bookmarkEnd w:id="0"/>
    </w:p>
    <w:p w:rsidRPr="00DB7060" w:rsidR="00E13C27" w:rsidP="00A443CF" w:rsidRDefault="00E13C27" w14:paraId="7F6961A2" w14:textId="53D639AE">
      <w:pPr>
        <w:pStyle w:val="HeadHatzaotHok"/>
        <w:rPr>
          <w:sz w:val="28"/>
          <w:szCs w:val="28"/>
          <w:rtl/>
        </w:rPr>
      </w:pPr>
      <w:r w:rsidRPr="00DB7060">
        <w:rPr>
          <w:rFonts w:hint="cs"/>
          <w:sz w:val="28"/>
          <w:szCs w:val="28"/>
          <w:rtl/>
        </w:rPr>
        <w:t xml:space="preserve">הכנסת </w:t>
      </w:r>
      <w:bookmarkStart w:name="LGS_Knesset_Num" w:id="1"/>
      <w:r>
        <w:rPr>
          <w:rFonts w:hint="cs"/>
          <w:sz w:val="28"/>
          <w:szCs w:val="28"/>
          <w:rtl/>
        </w:rPr>
        <w:t>העשרים וארבע</w:t>
      </w:r>
      <w:bookmarkEnd w:id="1"/>
    </w:p>
    <w:p w:rsidRPr="00F67051" w:rsidR="00E13C27" w:rsidP="00E13C27" w:rsidRDefault="00E13C27" w14:paraId="7F6961A3" w14:textId="77777777">
      <w:pPr>
        <w:rPr>
          <w:b/>
          <w:bCs/>
          <w:sz w:val="26"/>
          <w:szCs w:val="26"/>
          <w:rtl/>
        </w:rPr>
      </w:pPr>
    </w:p>
    <w:p w:rsidR="00E13C27" w:rsidP="00930EFE" w:rsidRDefault="008F6665" w14:paraId="7F6961A6" w14:textId="77777777">
      <w:pPr>
        <w:pStyle w:val="David"/>
        <w:ind w:left="3544"/>
        <w:rPr>
          <w:b/>
          <w:bCs/>
          <w:rtl/>
        </w:rPr>
      </w:pPr>
      <w:bookmarkStart w:name="LGS_Initiators_List" w:id="2"/>
      <w:r>
        <w:rPr>
          <w:b/>
          <w:bCs/>
          <w:rtl/>
        </w:rPr>
        <w:t>יוזמים:      חברי הכנסת</w:t>
      </w:r>
      <w:bookmarkEnd w:id="2"/>
      <w:r w:rsidRPr="00F67051" w:rsidR="00B35784">
        <w:rPr>
          <w:b/>
          <w:bCs/>
        </w:rPr>
        <w:tab/>
      </w:r>
      <w:bookmarkStart w:name="LGS_PM_Names" w:id="3"/>
      <w:r>
        <w:rPr>
          <w:rFonts w:hint="cs"/>
          <w:b/>
          <w:bCs/>
          <w:rtl/>
        </w:rPr>
        <w:t>אביר קארה</w:t>
      </w:r>
      <w:r>
        <w:br/>
      </w:r>
      <w:r>
        <w:rPr>
          <w:rFonts w:hint="cs"/>
          <w:b/>
          <w:bCs/>
          <w:rtl/>
        </w:rPr>
        <w:t xml:space="preserve"> </w:t>
      </w:r>
      <w:r>
        <w:tab/>
      </w:r>
      <w:r>
        <w:tab/>
      </w:r>
      <w:r>
        <w:tab/>
      </w:r>
      <w:r>
        <w:tab/>
      </w:r>
      <w:r>
        <w:rPr>
          <w:rFonts w:hint="cs"/>
          <w:b/>
          <w:bCs/>
          <w:rtl/>
        </w:rPr>
        <w:t>אילת שקד</w:t>
      </w:r>
      <w:r>
        <w:br/>
      </w:r>
      <w:r>
        <w:rPr>
          <w:rFonts w:hint="cs"/>
          <w:b/>
          <w:bCs/>
          <w:rtl/>
        </w:rPr>
        <w:t xml:space="preserve"> </w:t>
      </w:r>
      <w:r>
        <w:tab/>
      </w:r>
      <w:r>
        <w:tab/>
      </w:r>
      <w:r>
        <w:tab/>
      </w:r>
      <w:r>
        <w:tab/>
      </w:r>
      <w:r>
        <w:rPr>
          <w:rFonts w:hint="cs"/>
          <w:b/>
          <w:bCs/>
          <w:rtl/>
        </w:rPr>
        <w:t>מתן כהנא</w:t>
      </w:r>
      <w:r>
        <w:br/>
      </w:r>
      <w:r>
        <w:rPr>
          <w:rFonts w:hint="cs"/>
          <w:b/>
          <w:bCs/>
          <w:rtl/>
        </w:rPr>
        <w:t xml:space="preserve"> </w:t>
      </w:r>
      <w:r>
        <w:tab/>
      </w:r>
      <w:r>
        <w:tab/>
      </w:r>
      <w:r>
        <w:tab/>
      </w:r>
      <w:r>
        <w:tab/>
      </w:r>
      <w:r>
        <w:rPr>
          <w:rFonts w:hint="cs"/>
          <w:b/>
          <w:bCs/>
          <w:rtl/>
        </w:rPr>
        <w:t>עמיחי שיקלי</w:t>
      </w:r>
      <w:bookmarkEnd w:id="3"/>
    </w:p>
    <w:p w:rsidRPr="00904591" w:rsidR="00904591" w:rsidP="0036422C" w:rsidRDefault="00266D86" w14:paraId="34DB4103" w14:textId="77777777">
      <w:pPr>
        <w:pStyle w:val="David"/>
        <w:ind w:left="3544"/>
        <w:rPr>
          <w:sz w:val="4"/>
          <w:szCs w:val="4"/>
          <w:rtl/>
        </w:rPr>
      </w:pPr>
      <w:r>
        <w:t>____</w:t>
      </w:r>
      <w:r w:rsidR="00E374F2">
        <w:t>__</w:t>
      </w:r>
      <w:r>
        <w:t>________________________________________</w:t>
      </w:r>
      <w:r w:rsidRPr="00E06736" w:rsidR="00E06736">
        <w:tab/>
      </w:r>
      <w:r w:rsidRPr="00E06736" w:rsidR="00E13C27">
        <w:rPr>
          <w:rFonts w:hint="cs"/>
          <w:rtl/>
        </w:rPr>
        <w:tab/>
      </w:r>
      <w:r w:rsidRPr="00E06736" w:rsidR="00E13C27">
        <w:rPr>
          <w:rFonts w:hint="cs"/>
          <w:rtl/>
        </w:rPr>
        <w:tab/>
      </w:r>
      <w:r w:rsidRPr="00E06736" w:rsidR="00E13C27">
        <w:rPr>
          <w:rFonts w:hint="cs"/>
          <w:rtl/>
        </w:rPr>
        <w:tab/>
      </w:r>
      <w:r w:rsidR="00904591">
        <w:t xml:space="preserve">           </w:t>
      </w:r>
    </w:p>
    <w:p w:rsidRPr="00E06736" w:rsidR="00E13C27" w:rsidP="00937F0D" w:rsidRDefault="00904591" w14:paraId="7F6961AB" w14:textId="79E94D1F">
      <w:pPr>
        <w:pStyle w:val="David"/>
        <w:spacing w:line="240" w:lineRule="auto"/>
        <w:ind w:left="6424" w:firstLine="56"/>
        <w:rPr>
          <w:rtl/>
        </w:rPr>
      </w:pPr>
      <w:bookmarkStart w:name="Private_Number" w:id="4"/>
      <w:r>
        <w:rPr>
          <w:rFonts w:hint="cs"/>
          <w:rtl/>
        </w:rPr>
        <w:t>פ/781/24</w:t>
      </w:r>
      <w:bookmarkEnd w:id="4"/>
    </w:p>
    <w:p w:rsidRPr="00F67051" w:rsidR="00E13C27" w:rsidP="0021633A" w:rsidRDefault="00A443CF" w14:paraId="7F6961AD" w14:textId="77777777">
      <w:pPr>
        <w:pStyle w:val="HeadHatzaotHok"/>
        <w:rPr>
          <w:rtl/>
        </w:rPr>
      </w:pPr>
      <w:bookmarkStart w:name="LGS_Subject" w:id="5"/>
      <w:r>
        <w:rPr>
          <w:rFonts w:hint="cs"/>
          <w:rtl/>
        </w:rPr>
        <w:t>הצעת חוק הבחירות לכנסת (תיקון – זכות לשכר ביום הבחירות), התשפ"א–2021</w:t>
      </w:r>
      <w:bookmarkEnd w:id="5"/>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Pr="00873C8C" w:rsidR="00873C8C" w:rsidTr="00A7633F" w14:paraId="3F633EF8" w14:textId="77777777">
        <w:trPr>
          <w:cantSplit/>
        </w:trPr>
        <w:tc>
          <w:tcPr>
            <w:tcW w:w="1871" w:type="dxa"/>
          </w:tcPr>
          <w:p w:rsidRPr="00A7633F" w:rsidR="00873C8C" w:rsidP="00A7633F" w:rsidRDefault="00873C8C" w14:paraId="0691DC98" w14:textId="77777777">
            <w:pPr>
              <w:pStyle w:val="TableSideHeading"/>
              <w:outlineLvl w:val="9"/>
            </w:pPr>
            <w:r w:rsidRPr="00A7633F">
              <w:rPr>
                <w:rFonts w:hint="cs"/>
                <w:rtl/>
              </w:rPr>
              <w:t>תיקון סעיף 136</w:t>
            </w:r>
          </w:p>
        </w:tc>
        <w:tc>
          <w:tcPr>
            <w:tcW w:w="624" w:type="dxa"/>
          </w:tcPr>
          <w:p w:rsidRPr="00A7633F" w:rsidR="00873C8C" w:rsidP="00A7633F" w:rsidRDefault="00873C8C" w14:paraId="24C879A7" w14:textId="77777777">
            <w:pPr>
              <w:pStyle w:val="TableText"/>
              <w:jc w:val="both"/>
            </w:pPr>
            <w:r w:rsidRPr="00A7633F">
              <w:rPr>
                <w:rFonts w:hint="cs"/>
                <w:rtl/>
              </w:rPr>
              <w:t>1.</w:t>
            </w:r>
          </w:p>
        </w:tc>
        <w:tc>
          <w:tcPr>
            <w:tcW w:w="7143" w:type="dxa"/>
          </w:tcPr>
          <w:p w:rsidRPr="00A7633F" w:rsidR="00873C8C" w:rsidP="00A7633F" w:rsidRDefault="00873C8C" w14:paraId="39EFCB9E" w14:textId="77777777">
            <w:pPr>
              <w:pStyle w:val="TableBlock"/>
              <w:rPr>
                <w:rtl/>
              </w:rPr>
            </w:pPr>
            <w:r w:rsidRPr="00A7633F">
              <w:rPr>
                <w:rFonts w:hint="eastAsia"/>
                <w:rtl/>
              </w:rPr>
              <w:t>ב</w:t>
            </w:r>
            <w:r w:rsidRPr="00A7633F">
              <w:rPr>
                <w:rtl/>
              </w:rPr>
              <w:t xml:space="preserve">חוק הבחירות לכנסת [נוסח משולב], </w:t>
            </w:r>
            <w:r w:rsidRPr="00A7633F">
              <w:rPr>
                <w:rFonts w:hint="eastAsia"/>
                <w:rtl/>
              </w:rPr>
              <w:t>ה</w:t>
            </w:r>
            <w:r w:rsidRPr="00A7633F">
              <w:rPr>
                <w:rtl/>
              </w:rPr>
              <w:t>תשכ"ט</w:t>
            </w:r>
            <w:r w:rsidRPr="00A7633F">
              <w:rPr>
                <w:rFonts w:hint="eastAsia"/>
                <w:rtl/>
              </w:rPr>
              <w:t>–</w:t>
            </w:r>
            <w:r w:rsidRPr="00A7633F">
              <w:rPr>
                <w:rtl/>
              </w:rPr>
              <w:t>1969</w:t>
            </w:r>
            <w:r w:rsidRPr="00A7633F">
              <w:rPr>
                <w:rFonts w:ascii="David" w:hAnsi="David"/>
                <w:sz w:val="26"/>
                <w:vertAlign w:val="superscript"/>
                <w:rtl/>
              </w:rPr>
              <w:footnoteReference w:id="2"/>
            </w:r>
            <w:r w:rsidRPr="00A7633F">
              <w:rPr>
                <w:rFonts w:hint="cs"/>
                <w:rtl/>
              </w:rPr>
              <w:t xml:space="preserve">, </w:t>
            </w:r>
            <w:r w:rsidRPr="00A7633F">
              <w:rPr>
                <w:rFonts w:hint="eastAsia"/>
                <w:rtl/>
              </w:rPr>
              <w:t>בסעיף</w:t>
            </w:r>
            <w:r w:rsidRPr="00A7633F">
              <w:rPr>
                <w:rtl/>
              </w:rPr>
              <w:t xml:space="preserve"> 136 </w:t>
            </w:r>
            <w:r w:rsidRPr="00A7633F">
              <w:rPr>
                <w:rFonts w:hint="eastAsia"/>
                <w:rtl/>
              </w:rPr>
              <w:t>–</w:t>
            </w:r>
            <w:r w:rsidRPr="00A7633F">
              <w:rPr>
                <w:rFonts w:hint="cs"/>
                <w:rtl/>
              </w:rPr>
              <w:t xml:space="preserve"> </w:t>
            </w:r>
          </w:p>
        </w:tc>
      </w:tr>
      <w:tr w:rsidRPr="00873C8C" w:rsidR="00873C8C" w:rsidTr="00A7633F" w14:paraId="6CD196B4" w14:textId="77777777">
        <w:trPr>
          <w:cantSplit/>
        </w:trPr>
        <w:tc>
          <w:tcPr>
            <w:tcW w:w="1871" w:type="dxa"/>
          </w:tcPr>
          <w:p w:rsidRPr="00A7633F" w:rsidR="00873C8C" w:rsidP="00A7633F" w:rsidRDefault="00873C8C" w14:paraId="5D739060" w14:textId="77777777">
            <w:pPr>
              <w:pStyle w:val="TableSideHeading"/>
              <w:outlineLvl w:val="9"/>
            </w:pPr>
          </w:p>
        </w:tc>
        <w:tc>
          <w:tcPr>
            <w:tcW w:w="624" w:type="dxa"/>
          </w:tcPr>
          <w:p w:rsidRPr="00A7633F" w:rsidR="00873C8C" w:rsidP="00A7633F" w:rsidRDefault="00873C8C" w14:paraId="35769C60" w14:textId="77777777">
            <w:pPr>
              <w:pStyle w:val="TableText"/>
              <w:jc w:val="both"/>
            </w:pPr>
          </w:p>
        </w:tc>
        <w:tc>
          <w:tcPr>
            <w:tcW w:w="7143" w:type="dxa"/>
          </w:tcPr>
          <w:p w:rsidRPr="00A7633F" w:rsidR="00873C8C" w:rsidP="00A7633F" w:rsidRDefault="00873C8C" w14:paraId="2259DF20" w14:textId="77777777">
            <w:pPr>
              <w:pStyle w:val="TableBlock"/>
            </w:pPr>
            <w:r w:rsidRPr="00A7633F">
              <w:rPr>
                <w:rFonts w:hint="cs"/>
                <w:rtl/>
              </w:rPr>
              <w:t>(1)</w:t>
            </w:r>
            <w:r w:rsidRPr="00A7633F">
              <w:rPr>
                <w:rtl/>
              </w:rPr>
              <w:tab/>
            </w:r>
            <w:r w:rsidRPr="00A7633F">
              <w:rPr>
                <w:rFonts w:hint="eastAsia"/>
                <w:rtl/>
              </w:rPr>
              <w:t>בכל</w:t>
            </w:r>
            <w:r w:rsidRPr="00A7633F">
              <w:rPr>
                <w:rtl/>
              </w:rPr>
              <w:t xml:space="preserve"> </w:t>
            </w:r>
            <w:r w:rsidRPr="00A7633F">
              <w:rPr>
                <w:rFonts w:hint="eastAsia"/>
                <w:rtl/>
              </w:rPr>
              <w:t>מקום</w:t>
            </w:r>
            <w:r w:rsidRPr="00A7633F">
              <w:rPr>
                <w:rtl/>
              </w:rPr>
              <w:t xml:space="preserve"> </w:t>
            </w:r>
            <w:r w:rsidRPr="00A7633F">
              <w:rPr>
                <w:rFonts w:hint="eastAsia"/>
                <w:rtl/>
              </w:rPr>
              <w:t>במקום</w:t>
            </w:r>
            <w:r w:rsidRPr="00A7633F">
              <w:rPr>
                <w:rtl/>
              </w:rPr>
              <w:t xml:space="preserve"> "עובד שעבד" </w:t>
            </w:r>
            <w:r w:rsidRPr="00A7633F">
              <w:rPr>
                <w:rFonts w:hint="eastAsia"/>
                <w:rtl/>
              </w:rPr>
              <w:t>יבוא</w:t>
            </w:r>
            <w:r w:rsidRPr="00A7633F">
              <w:rPr>
                <w:rtl/>
              </w:rPr>
              <w:t xml:space="preserve"> "</w:t>
            </w:r>
            <w:r w:rsidRPr="00A7633F">
              <w:rPr>
                <w:rFonts w:hint="eastAsia"/>
                <w:rtl/>
              </w:rPr>
              <w:t>עובד</w:t>
            </w:r>
            <w:r w:rsidRPr="00A7633F">
              <w:rPr>
                <w:rtl/>
              </w:rPr>
              <w:t xml:space="preserve"> </w:t>
            </w:r>
            <w:r w:rsidRPr="00A7633F">
              <w:rPr>
                <w:rFonts w:hint="eastAsia"/>
                <w:rtl/>
              </w:rPr>
              <w:t>בעל</w:t>
            </w:r>
            <w:r w:rsidRPr="00A7633F">
              <w:rPr>
                <w:rtl/>
              </w:rPr>
              <w:t xml:space="preserve"> </w:t>
            </w:r>
            <w:r w:rsidRPr="00A7633F">
              <w:rPr>
                <w:rFonts w:hint="eastAsia"/>
                <w:rtl/>
              </w:rPr>
              <w:t>זכות</w:t>
            </w:r>
            <w:r w:rsidRPr="00A7633F">
              <w:rPr>
                <w:rtl/>
              </w:rPr>
              <w:t xml:space="preserve"> </w:t>
            </w:r>
            <w:r w:rsidRPr="00A7633F">
              <w:rPr>
                <w:rFonts w:hint="eastAsia"/>
                <w:rtl/>
              </w:rPr>
              <w:t>הצבעה</w:t>
            </w:r>
            <w:r w:rsidRPr="00A7633F">
              <w:rPr>
                <w:rtl/>
              </w:rPr>
              <w:t xml:space="preserve"> </w:t>
            </w:r>
            <w:r w:rsidRPr="00A7633F">
              <w:rPr>
                <w:rFonts w:hint="eastAsia"/>
                <w:rtl/>
              </w:rPr>
              <w:t>בבחירות</w:t>
            </w:r>
            <w:r w:rsidRPr="00A7633F">
              <w:rPr>
                <w:rtl/>
              </w:rPr>
              <w:t xml:space="preserve"> </w:t>
            </w:r>
            <w:r w:rsidRPr="00A7633F">
              <w:rPr>
                <w:rFonts w:hint="eastAsia"/>
                <w:rtl/>
              </w:rPr>
              <w:t>שעבד</w:t>
            </w:r>
            <w:r w:rsidRPr="00A7633F">
              <w:rPr>
                <w:rtl/>
              </w:rPr>
              <w:t>"</w:t>
            </w:r>
            <w:r w:rsidRPr="00A7633F">
              <w:rPr>
                <w:rFonts w:hint="cs"/>
                <w:rtl/>
              </w:rPr>
              <w:t>;</w:t>
            </w:r>
          </w:p>
        </w:tc>
      </w:tr>
      <w:tr w:rsidRPr="00873C8C" w:rsidR="00873C8C" w:rsidTr="00A7633F" w14:paraId="1005C04B" w14:textId="77777777">
        <w:trPr>
          <w:cantSplit/>
        </w:trPr>
        <w:tc>
          <w:tcPr>
            <w:tcW w:w="1871" w:type="dxa"/>
          </w:tcPr>
          <w:p w:rsidRPr="00A7633F" w:rsidR="00873C8C" w:rsidP="00A7633F" w:rsidRDefault="00873C8C" w14:paraId="3F8F6D8E" w14:textId="77777777">
            <w:pPr>
              <w:pStyle w:val="TableSideHeading"/>
              <w:outlineLvl w:val="9"/>
            </w:pPr>
          </w:p>
        </w:tc>
        <w:tc>
          <w:tcPr>
            <w:tcW w:w="624" w:type="dxa"/>
          </w:tcPr>
          <w:p w:rsidRPr="00A7633F" w:rsidR="00873C8C" w:rsidP="00A7633F" w:rsidRDefault="00873C8C" w14:paraId="7C6AA54B" w14:textId="77777777">
            <w:pPr>
              <w:pStyle w:val="TableText"/>
              <w:jc w:val="both"/>
            </w:pPr>
          </w:p>
        </w:tc>
        <w:tc>
          <w:tcPr>
            <w:tcW w:w="7143" w:type="dxa"/>
          </w:tcPr>
          <w:p w:rsidRPr="00A7633F" w:rsidR="00873C8C" w:rsidP="00A7633F" w:rsidRDefault="00873C8C" w14:paraId="22541DBE" w14:textId="77777777">
            <w:pPr>
              <w:pStyle w:val="TableBlock"/>
              <w:rPr>
                <w:rtl/>
              </w:rPr>
            </w:pPr>
            <w:r w:rsidRPr="00A7633F">
              <w:rPr>
                <w:rFonts w:hint="cs"/>
                <w:rtl/>
              </w:rPr>
              <w:t xml:space="preserve">(2) </w:t>
            </w:r>
            <w:r w:rsidRPr="00A7633F">
              <w:rPr>
                <w:rtl/>
              </w:rPr>
              <w:tab/>
            </w:r>
            <w:r w:rsidRPr="00A7633F">
              <w:rPr>
                <w:rFonts w:hint="cs"/>
                <w:rtl/>
              </w:rPr>
              <w:t>אחרי "אילולא שבת;" יבוא "</w:t>
            </w:r>
            <w:r w:rsidRPr="00A7633F">
              <w:rPr>
                <w:rFonts w:hint="eastAsia"/>
                <w:rtl/>
              </w:rPr>
              <w:t>זכות</w:t>
            </w:r>
            <w:r w:rsidRPr="00A7633F">
              <w:rPr>
                <w:rtl/>
              </w:rPr>
              <w:t xml:space="preserve"> </w:t>
            </w:r>
            <w:r w:rsidRPr="00A7633F">
              <w:rPr>
                <w:rFonts w:hint="cs"/>
                <w:rtl/>
              </w:rPr>
              <w:t xml:space="preserve">לשכר כאמור תינתן אחת לשנים עשר חודשים לכל היותר ואם </w:t>
            </w:r>
            <w:r w:rsidRPr="00A7633F">
              <w:rPr>
                <w:rFonts w:hint="eastAsia"/>
                <w:rtl/>
              </w:rPr>
              <w:t>מוצתה</w:t>
            </w:r>
            <w:r w:rsidRPr="00A7633F">
              <w:rPr>
                <w:rtl/>
              </w:rPr>
              <w:t xml:space="preserve"> </w:t>
            </w:r>
            <w:r w:rsidRPr="00A7633F">
              <w:rPr>
                <w:rFonts w:hint="eastAsia"/>
                <w:rtl/>
              </w:rPr>
              <w:t>יהא</w:t>
            </w:r>
            <w:r w:rsidRPr="00A7633F">
              <w:rPr>
                <w:rtl/>
              </w:rPr>
              <w:t xml:space="preserve"> </w:t>
            </w:r>
            <w:r w:rsidRPr="00A7633F">
              <w:rPr>
                <w:rFonts w:hint="cs"/>
                <w:rtl/>
              </w:rPr>
              <w:t>ה</w:t>
            </w:r>
            <w:r w:rsidRPr="00A7633F">
              <w:rPr>
                <w:rFonts w:hint="eastAsia"/>
                <w:rtl/>
              </w:rPr>
              <w:t>עובד</w:t>
            </w:r>
            <w:r w:rsidRPr="00A7633F">
              <w:rPr>
                <w:rtl/>
              </w:rPr>
              <w:t xml:space="preserve"> רשאי </w:t>
            </w:r>
            <w:r w:rsidRPr="00A7633F">
              <w:rPr>
                <w:rFonts w:hint="eastAsia"/>
                <w:rtl/>
              </w:rPr>
              <w:t>לנצל</w:t>
            </w:r>
            <w:r w:rsidRPr="00A7633F">
              <w:rPr>
                <w:rtl/>
              </w:rPr>
              <w:t xml:space="preserve"> </w:t>
            </w:r>
            <w:r w:rsidRPr="00A7633F">
              <w:rPr>
                <w:rFonts w:hint="eastAsia"/>
                <w:rtl/>
              </w:rPr>
              <w:t>יום</w:t>
            </w:r>
            <w:r w:rsidRPr="00A7633F">
              <w:rPr>
                <w:rtl/>
              </w:rPr>
              <w:t xml:space="preserve"> </w:t>
            </w:r>
            <w:r w:rsidRPr="00A7633F">
              <w:rPr>
                <w:rFonts w:hint="eastAsia"/>
                <w:rtl/>
              </w:rPr>
              <w:t>חופשה</w:t>
            </w:r>
            <w:r w:rsidRPr="00A7633F">
              <w:rPr>
                <w:rtl/>
              </w:rPr>
              <w:t xml:space="preserve"> </w:t>
            </w:r>
            <w:r w:rsidRPr="00A7633F">
              <w:rPr>
                <w:rFonts w:hint="eastAsia"/>
                <w:rtl/>
              </w:rPr>
              <w:t>אחד</w:t>
            </w:r>
            <w:r w:rsidRPr="00A7633F">
              <w:rPr>
                <w:rtl/>
              </w:rPr>
              <w:t xml:space="preserve"> </w:t>
            </w:r>
            <w:r w:rsidRPr="00A7633F">
              <w:rPr>
                <w:rFonts w:hint="eastAsia"/>
                <w:rtl/>
              </w:rPr>
              <w:t>המגיע</w:t>
            </w:r>
            <w:r w:rsidRPr="00A7633F">
              <w:rPr>
                <w:rtl/>
              </w:rPr>
              <w:t xml:space="preserve"> </w:t>
            </w:r>
            <w:r w:rsidRPr="00A7633F">
              <w:rPr>
                <w:rFonts w:hint="eastAsia"/>
                <w:rtl/>
              </w:rPr>
              <w:t>לו</w:t>
            </w:r>
            <w:r w:rsidRPr="00A7633F">
              <w:rPr>
                <w:rtl/>
              </w:rPr>
              <w:t xml:space="preserve"> </w:t>
            </w:r>
            <w:r w:rsidRPr="00A7633F">
              <w:rPr>
                <w:rFonts w:hint="eastAsia"/>
                <w:rtl/>
              </w:rPr>
              <w:t>בהתאם</w:t>
            </w:r>
            <w:r w:rsidRPr="00A7633F">
              <w:rPr>
                <w:rtl/>
              </w:rPr>
              <w:t xml:space="preserve"> </w:t>
            </w:r>
            <w:r w:rsidRPr="00A7633F">
              <w:rPr>
                <w:rFonts w:hint="eastAsia"/>
                <w:rtl/>
              </w:rPr>
              <w:t>לחוק</w:t>
            </w:r>
            <w:r w:rsidRPr="00A7633F">
              <w:rPr>
                <w:rtl/>
              </w:rPr>
              <w:t xml:space="preserve"> </w:t>
            </w:r>
            <w:r w:rsidRPr="00A7633F">
              <w:rPr>
                <w:rFonts w:hint="eastAsia"/>
                <w:rtl/>
              </w:rPr>
              <w:t>חופשה</w:t>
            </w:r>
            <w:r w:rsidRPr="00A7633F">
              <w:rPr>
                <w:rtl/>
              </w:rPr>
              <w:t xml:space="preserve"> </w:t>
            </w:r>
            <w:r w:rsidRPr="00A7633F">
              <w:rPr>
                <w:rFonts w:hint="eastAsia"/>
                <w:rtl/>
              </w:rPr>
              <w:t>שנתית</w:t>
            </w:r>
            <w:r w:rsidRPr="00A7633F">
              <w:rPr>
                <w:rtl/>
              </w:rPr>
              <w:t xml:space="preserve">, </w:t>
            </w:r>
            <w:r w:rsidRPr="00A7633F">
              <w:rPr>
                <w:rFonts w:hint="cs"/>
                <w:rtl/>
              </w:rPr>
              <w:t>ה</w:t>
            </w:r>
            <w:r w:rsidRPr="00A7633F">
              <w:rPr>
                <w:rFonts w:hint="eastAsia"/>
                <w:rtl/>
              </w:rPr>
              <w:t>תשי</w:t>
            </w:r>
            <w:r w:rsidRPr="00A7633F">
              <w:rPr>
                <w:rtl/>
              </w:rPr>
              <w:t>"</w:t>
            </w:r>
            <w:r w:rsidRPr="00A7633F">
              <w:rPr>
                <w:rFonts w:hint="eastAsia"/>
                <w:rtl/>
              </w:rPr>
              <w:t>א–</w:t>
            </w:r>
            <w:r w:rsidRPr="00A7633F">
              <w:rPr>
                <w:rtl/>
              </w:rPr>
              <w:t>1951</w:t>
            </w:r>
            <w:r w:rsidRPr="00A7633F">
              <w:rPr>
                <w:rFonts w:ascii="David" w:hAnsi="David"/>
                <w:sz w:val="26"/>
                <w:vertAlign w:val="superscript"/>
                <w:rtl/>
              </w:rPr>
              <w:footnoteReference w:id="3"/>
            </w:r>
            <w:r w:rsidRPr="00A7633F">
              <w:rPr>
                <w:rtl/>
              </w:rPr>
              <w:t>,</w:t>
            </w:r>
            <w:r w:rsidRPr="00A7633F">
              <w:t xml:space="preserve">  </w:t>
            </w:r>
            <w:r w:rsidRPr="00A7633F">
              <w:rPr>
                <w:rtl/>
              </w:rPr>
              <w:t xml:space="preserve">ובלבד שהודיע על כך למעסיקו </w:t>
            </w:r>
            <w:r w:rsidRPr="00A7633F">
              <w:rPr>
                <w:rFonts w:hint="cs"/>
                <w:rtl/>
              </w:rPr>
              <w:t xml:space="preserve">7 </w:t>
            </w:r>
            <w:r w:rsidRPr="00A7633F">
              <w:rPr>
                <w:rtl/>
              </w:rPr>
              <w:t>ימים מראש לפחות</w:t>
            </w:r>
            <w:r w:rsidRPr="00A7633F">
              <w:rPr>
                <w:rFonts w:hint="cs"/>
                <w:rtl/>
              </w:rPr>
              <w:t>".</w:t>
            </w:r>
          </w:p>
        </w:tc>
      </w:tr>
    </w:tbl>
    <w:p w:rsidRPr="00873C8C" w:rsidR="00E13C27" w:rsidP="0021633A" w:rsidRDefault="00E13C27" w14:paraId="7F6961AE" w14:textId="77777777">
      <w:pPr>
        <w:pStyle w:val="HeadDivreiHesber"/>
        <w:spacing w:before="0" w:after="0"/>
        <w:rPr>
          <w:rtl/>
        </w:rPr>
      </w:pPr>
    </w:p>
    <w:p w:rsidR="002D1EE3" w:rsidP="002D1EE3" w:rsidRDefault="002D1EE3" w14:paraId="7F6961CA" w14:textId="77777777">
      <w:pPr>
        <w:pStyle w:val="HeadDivreiHesber"/>
        <w:rPr>
          <w:rtl/>
        </w:rPr>
      </w:pPr>
      <w:r w:rsidRPr="0027450A">
        <w:rPr>
          <w:rFonts w:hint="cs"/>
          <w:rtl/>
        </w:rPr>
        <w:t>דברי הסבר</w:t>
      </w:r>
    </w:p>
    <w:p w:rsidRPr="00A7633F" w:rsidR="00873C8C" w:rsidP="00A7633F" w:rsidRDefault="00873C8C" w14:paraId="65E976AF" w14:textId="13FB2556">
      <w:pPr>
        <w:pStyle w:val="Hesber"/>
      </w:pPr>
      <w:r w:rsidRPr="00A7633F">
        <w:rPr>
          <w:rtl/>
        </w:rPr>
        <w:t>חופשה ביום הבחירות הינה נוהג מקובל בעולם</w:t>
      </w:r>
      <w:r w:rsidRPr="00A7633F">
        <w:rPr>
          <w:rFonts w:hint="cs"/>
          <w:rtl/>
        </w:rPr>
        <w:t>, אך</w:t>
      </w:r>
      <w:r w:rsidRPr="00A7633F">
        <w:rPr>
          <w:rtl/>
        </w:rPr>
        <w:t xml:space="preserve"> במרבית מדינות העולם, הבחירות הכלליות נערכות בסופי שבוע, כלומר בימי חופש. בישראל, הבחירות לכנסת ולרשויות המקומיות מתקיימות באמצע שבוע העבודה, בימי שלישי, ונחשבים לימי שבתון אשר המעסיק מחוייב לממן. </w:t>
      </w:r>
    </w:p>
    <w:p w:rsidRPr="00A7633F" w:rsidR="00873C8C" w:rsidP="00A7633F" w:rsidRDefault="00873C8C" w14:paraId="74189FD1" w14:textId="2D2E4A76">
      <w:pPr>
        <w:pStyle w:val="Hesber"/>
      </w:pPr>
      <w:r w:rsidRPr="00A7633F">
        <w:rPr>
          <w:rtl/>
        </w:rPr>
        <w:t>לאחרונה</w:t>
      </w:r>
      <w:r w:rsidRPr="00A7633F">
        <w:rPr>
          <w:rFonts w:hint="cs"/>
          <w:rtl/>
        </w:rPr>
        <w:t xml:space="preserve"> חופשות אלה מתרחשות בתדירות גבוהה, בשנת</w:t>
      </w:r>
      <w:r w:rsidRPr="00A7633F">
        <w:rPr>
          <w:rtl/>
        </w:rPr>
        <w:t xml:space="preserve"> </w:t>
      </w:r>
      <w:r w:rsidRPr="00A7633F">
        <w:rPr>
          <w:rFonts w:hint="cs"/>
          <w:rtl/>
        </w:rPr>
        <w:t xml:space="preserve">2014 </w:t>
      </w:r>
      <w:r w:rsidRPr="00A7633F">
        <w:rPr>
          <w:rtl/>
        </w:rPr>
        <w:t xml:space="preserve">חוקקה הכנסת חופשה גם ביום הבחירות לרשויות המקומיות, וגם </w:t>
      </w:r>
      <w:r w:rsidRPr="00A7633F">
        <w:rPr>
          <w:rFonts w:hint="cs"/>
          <w:rtl/>
        </w:rPr>
        <w:t xml:space="preserve">בשנים האחרונות </w:t>
      </w:r>
      <w:r w:rsidRPr="00A7633F">
        <w:rPr>
          <w:rtl/>
        </w:rPr>
        <w:t xml:space="preserve">בחירות לכנסת אירעו בתדירות גבוהה מהרגיל. כך לדוגמה, במעט יותר משנה תושבי ירושלים </w:t>
      </w:r>
      <w:r w:rsidRPr="00A7633F">
        <w:rPr>
          <w:rFonts w:hint="cs"/>
          <w:rtl/>
        </w:rPr>
        <w:t>ה</w:t>
      </w:r>
      <w:r w:rsidRPr="00A7633F">
        <w:rPr>
          <w:rtl/>
        </w:rPr>
        <w:t>צביעו פעמיים בבחירות לרשויות המקומיות, ושלוש פעמים בבחירות לכנסת.</w:t>
      </w:r>
    </w:p>
    <w:p w:rsidRPr="00A7633F" w:rsidR="00873C8C" w:rsidP="00A7633F" w:rsidRDefault="00873C8C" w14:paraId="6FB81CD8" w14:textId="77777777">
      <w:pPr>
        <w:pStyle w:val="Hesber"/>
      </w:pPr>
      <w:r w:rsidRPr="00A7633F">
        <w:rPr>
          <w:rtl/>
        </w:rPr>
        <w:t xml:space="preserve">בנוסף, חוק הבחירות הנוכחי מעניק חופשה ביום הבחירות גם למי שאינם בעלי זכות בחירה, </w:t>
      </w:r>
      <w:r w:rsidRPr="00A7633F">
        <w:rPr>
          <w:rFonts w:hint="cs"/>
          <w:rtl/>
        </w:rPr>
        <w:t>כך למשל החוק מעניק זכות לשכר גם ל</w:t>
      </w:r>
      <w:r w:rsidRPr="00A7633F">
        <w:rPr>
          <w:rtl/>
        </w:rPr>
        <w:t>עובדים זרים בענ</w:t>
      </w:r>
      <w:r w:rsidRPr="00A7633F">
        <w:rPr>
          <w:rFonts w:hint="cs"/>
          <w:rtl/>
        </w:rPr>
        <w:t>ף</w:t>
      </w:r>
      <w:r w:rsidRPr="00A7633F">
        <w:rPr>
          <w:rtl/>
        </w:rPr>
        <w:t xml:space="preserve"> החקלאות שאין שום הצדקה להעניק להם חופשה על חשבון המעסיק.</w:t>
      </w:r>
    </w:p>
    <w:p w:rsidRPr="00A7633F" w:rsidR="00873C8C" w:rsidP="00A7633F" w:rsidRDefault="00873C8C" w14:paraId="0537777E" w14:textId="77777777">
      <w:pPr>
        <w:pStyle w:val="Hesber"/>
        <w:rPr>
          <w:rtl/>
        </w:rPr>
      </w:pPr>
      <w:r w:rsidRPr="00A7633F">
        <w:rPr>
          <w:rtl/>
        </w:rPr>
        <w:t xml:space="preserve">מצב זה מטיל נטל כבד, ובלתי מוצדק, על מעסיקים בישראל. מוצע בזה להגביל את העלות למעסיקים </w:t>
      </w:r>
      <w:r w:rsidRPr="00A7633F">
        <w:rPr>
          <w:rtl/>
        </w:rPr>
        <w:lastRenderedPageBreak/>
        <w:t>בגין יום שבתון בבחירות לפעם אחת בכל 12 חודשים ולבעלי זכות הצבעה בלבד, אך מצד שני לאפשר לבעלי זכות הצבעה הזכאים עקרונית לשבתון ביום הבחירות, לנצל יום חופשה ביום בחירות גם ללא אישור המעסיק, ובלבד שיעדכ</w:t>
      </w:r>
      <w:r w:rsidRPr="00A7633F">
        <w:rPr>
          <w:rFonts w:hint="cs"/>
          <w:rtl/>
        </w:rPr>
        <w:t>נו</w:t>
      </w:r>
      <w:r w:rsidRPr="00A7633F">
        <w:rPr>
          <w:rtl/>
        </w:rPr>
        <w:t xml:space="preserve"> אותו זמן מספיק מראש.</w:t>
      </w:r>
    </w:p>
    <w:p w:rsidRPr="00A7633F" w:rsidR="00E13C27" w:rsidP="00937F0D" w:rsidRDefault="00E60C08" w14:paraId="7F6961CB" w14:textId="18C7A990">
      <w:pPr>
        <w:pStyle w:val="Hesber"/>
        <w:rPr>
          <w:rtl/>
        </w:rPr>
      </w:pPr>
      <w:r w:rsidRPr="00A7633F">
        <w:rPr>
          <w:rFonts w:hint="cs"/>
          <w:rtl/>
        </w:rPr>
        <w:t xml:space="preserve">הצעת חוק זהה הונחה על שולחן הכנסת העשרים ושלוש על ידי חברת הכנסת קטי קטרין שטרית (פ/852/23). הצעת החוק זהה לפ/852/23 ולפיכך לא נבדקה מחדש על ידי הלשכה המשפטית של הכנסת. </w:t>
      </w:r>
      <w:bookmarkStart w:name="_GoBack" w:id="6"/>
      <w:bookmarkEnd w:id="6"/>
    </w:p>
    <w:p>
      <w:pPr>
        <w:jc w:val="left"/>
        <w:spacing w:before="0" w:after="0" w:line="276" w:lineRule="auto"/>
      </w:pPr>
      <w:bookmarkStart w:name="selectedDocDateB" w:id="9"/>
      <w:bookmarkEnd w:id="9"/>
      <w:r/>
      <w:p>
        <w:pPr>
          <w:jc w:val="left"/>
          <w:spacing w:before="0" w:after="0" w:line="360" w:lineRule="auto"/>
        </w:pPr>
        <w:r>
          <w:rPr>
            <w:rtl/>
            <w:rFonts w:hint="cs" w:ascii="David" w:hAnsi="David" w:eastAsia="David" w:cs="David"/>
            <w:sz w:val="26"/>
            <w:szCs w:val="26"/>
          </w:rPr>
          <w:t>--------------------------------</w:t>
        </w:r>
      </w:p>
      <w:p>
        <w:pPr>
          <w:jc w:val="left"/>
          <w:spacing w:before="0" w:after="0" w:line="360" w:lineRule="auto"/>
        </w:pPr>
        <w:r>
          <w:rPr>
            <w:rtl/>
            <w:rFonts w:hint="cs" w:ascii="David" w:hAnsi="David" w:eastAsia="David" w:cs="David"/>
            <w:sz w:val="26"/>
            <w:szCs w:val="26"/>
          </w:rPr>
          <w:t>הוגשה ליו"ר הכנסת והסגנים</w:t>
        </w:r>
      </w:p>
      <w:p>
        <w:pPr>
          <w:jc w:val="left"/>
          <w:spacing w:before="0" w:after="0" w:line="360" w:lineRule="auto"/>
        </w:pPr>
        <w:r>
          <w:rPr>
            <w:rtl/>
            <w:rFonts w:hint="cs" w:ascii="David" w:hAnsi="David" w:eastAsia="David" w:cs="David"/>
            <w:sz w:val="26"/>
            <w:szCs w:val="26"/>
          </w:rPr>
          <w:t>והונחה על שולחן הכנסת ביום</w:t>
        </w:r>
      </w:p>
      <w:p>
        <w:pPr>
          <w:jc w:val="left"/>
          <w:spacing w:before="0" w:after="0" w:line="360" w:lineRule="auto"/>
        </w:pPr>
        <w:r>
          <w:rPr>
            <w:rtl/>
            <w:rFonts w:hint="cs" w:ascii="David" w:hAnsi="David" w:eastAsia="David" w:cs="David"/>
            <w:sz w:val="26"/>
            <w:szCs w:val="26"/>
          </w:rPr>
          <w:t xml:space="preserve">ז' בסיוון התשפ"א</w:t>
          <w:t xml:space="preserve"> (18.05.2021) </w:t>
        </w:r>
      </w:p>
    </w:p>
    <w:sectPr w:rsidRPr="00A7633F" w:rsidR="00E13C27" w:rsidSect="00A7633F">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937F0D">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A7633F">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47AEAE8C" w14:textId="77777777" w:rsidR="00873C8C" w:rsidRPr="000B2C0A" w:rsidRDefault="00873C8C" w:rsidP="00873C8C">
      <w:pPr>
        <w:pStyle w:val="a4"/>
        <w:rPr>
          <w:rtl/>
        </w:rPr>
      </w:pPr>
      <w:r>
        <w:rPr>
          <w:rStyle w:val="a5"/>
        </w:rPr>
        <w:footnoteRef/>
      </w:r>
      <w:r>
        <w:rPr>
          <w:rtl/>
        </w:rPr>
        <w:t xml:space="preserve"> </w:t>
      </w:r>
      <w:r w:rsidRPr="000B2C0A">
        <w:t> </w:t>
      </w:r>
      <w:r>
        <w:rPr>
          <w:rtl/>
        </w:rPr>
        <w:t>ס"ח תשכ"ט</w:t>
      </w:r>
      <w:r>
        <w:rPr>
          <w:rFonts w:hint="cs"/>
          <w:rtl/>
        </w:rPr>
        <w:t>,</w:t>
      </w:r>
      <w:r w:rsidRPr="000B2C0A">
        <w:rPr>
          <w:rtl/>
        </w:rPr>
        <w:t xml:space="preserve"> עמ' 103</w:t>
      </w:r>
      <w:r w:rsidRPr="000B2C0A">
        <w:t>.</w:t>
      </w:r>
    </w:p>
  </w:footnote>
  <w:footnote w:id="3">
    <w:p w14:paraId="136B1EA2" w14:textId="77777777" w:rsidR="00873C8C" w:rsidRDefault="00873C8C" w:rsidP="00873C8C">
      <w:pPr>
        <w:pStyle w:val="a4"/>
        <w:rPr>
          <w:rtl/>
        </w:rPr>
      </w:pPr>
      <w:r>
        <w:rPr>
          <w:rStyle w:val="a5"/>
        </w:rPr>
        <w:footnoteRef/>
      </w:r>
      <w:r>
        <w:rPr>
          <w:rtl/>
        </w:rPr>
        <w:t xml:space="preserve"> </w:t>
      </w:r>
      <w:r w:rsidRPr="00313FAD">
        <w:t> </w:t>
      </w:r>
      <w:r>
        <w:rPr>
          <w:rtl/>
        </w:rPr>
        <w:t>ס"ח תשי"א</w:t>
      </w:r>
      <w:r>
        <w:rPr>
          <w:rFonts w:hint="cs"/>
          <w:rtl/>
        </w:rPr>
        <w:t xml:space="preserve">, </w:t>
      </w:r>
      <w:r w:rsidRPr="00313FAD">
        <w:rPr>
          <w:rtl/>
        </w:rPr>
        <w:t>עמ' 234</w:t>
      </w:r>
      <w:r>
        <w:rPr>
          <w:rFonts w:hint="cs"/>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3C8C"/>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37F0D"/>
    <w:rsid w:val="00943386"/>
    <w:rsid w:val="009456B6"/>
    <w:rsid w:val="00957589"/>
    <w:rsid w:val="00966D06"/>
    <w:rsid w:val="00982412"/>
    <w:rsid w:val="00983A8D"/>
    <w:rsid w:val="009A0DB8"/>
    <w:rsid w:val="009A7257"/>
    <w:rsid w:val="009D6E0A"/>
    <w:rsid w:val="009E1E33"/>
    <w:rsid w:val="00A14672"/>
    <w:rsid w:val="00A225A3"/>
    <w:rsid w:val="00A26BD6"/>
    <w:rsid w:val="00A443CF"/>
    <w:rsid w:val="00A6611D"/>
    <w:rsid w:val="00A7633F"/>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0C08"/>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A31D2B29-44DE-4115-8C39-B6601240E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633F"/>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A7633F"/>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A7633F"/>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A7633F"/>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A7633F"/>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A7633F"/>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A7633F"/>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A7633F"/>
    <w:rPr>
      <w:sz w:val="36"/>
      <w:szCs w:val="52"/>
    </w:rPr>
  </w:style>
  <w:style w:type="paragraph" w:customStyle="1" w:styleId="Cover3-Haknesset">
    <w:name w:val="Cover 3-Haknesset"/>
    <w:basedOn w:val="Cover1-Reshumot"/>
    <w:rsid w:val="00A7633F"/>
    <w:rPr>
      <w:b/>
      <w:bCs/>
      <w:spacing w:val="60"/>
    </w:rPr>
  </w:style>
  <w:style w:type="paragraph" w:customStyle="1" w:styleId="Cover4-Date">
    <w:name w:val="Cover 4-Date"/>
    <w:basedOn w:val="a"/>
    <w:rsid w:val="00A7633F"/>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A7633F"/>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A7633F"/>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A7633F"/>
    <w:pPr>
      <w:spacing w:before="120" w:after="120"/>
    </w:pPr>
    <w:rPr>
      <w:color w:val="FF0000"/>
      <w:w w:val="80"/>
    </w:rPr>
  </w:style>
  <w:style w:type="paragraph" w:styleId="a3">
    <w:name w:val="endnote text"/>
    <w:basedOn w:val="a"/>
    <w:semiHidden/>
    <w:rsid w:val="00A7633F"/>
    <w:pPr>
      <w:ind w:left="227" w:hanging="227"/>
    </w:pPr>
    <w:rPr>
      <w:sz w:val="14"/>
      <w:szCs w:val="22"/>
    </w:rPr>
  </w:style>
  <w:style w:type="paragraph" w:customStyle="1" w:styleId="TableText">
    <w:name w:val="Table Text"/>
    <w:basedOn w:val="a"/>
    <w:rsid w:val="00A7633F"/>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A7633F"/>
    <w:pPr>
      <w:outlineLvl w:val="2"/>
    </w:pPr>
  </w:style>
  <w:style w:type="paragraph" w:customStyle="1" w:styleId="TableBlock">
    <w:name w:val="Table Block"/>
    <w:basedOn w:val="TableText"/>
    <w:rsid w:val="00A7633F"/>
    <w:pPr>
      <w:jc w:val="both"/>
    </w:pPr>
  </w:style>
  <w:style w:type="paragraph" w:customStyle="1" w:styleId="TableHead">
    <w:name w:val="Table Head"/>
    <w:basedOn w:val="TableText"/>
    <w:rsid w:val="00A7633F"/>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A7633F"/>
    <w:pPr>
      <w:outlineLvl w:val="9"/>
    </w:pPr>
  </w:style>
  <w:style w:type="paragraph" w:customStyle="1" w:styleId="Hesber">
    <w:name w:val="Hesber"/>
    <w:basedOn w:val="a"/>
    <w:rsid w:val="00A7633F"/>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A7633F"/>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A7633F"/>
    <w:rPr>
      <w:vertAlign w:val="superscript"/>
    </w:rPr>
  </w:style>
  <w:style w:type="paragraph" w:customStyle="1" w:styleId="HesberHeading">
    <w:name w:val="Hesber Heading"/>
    <w:basedOn w:val="Hesber"/>
    <w:rsid w:val="00A7633F"/>
    <w:pPr>
      <w:tabs>
        <w:tab w:val="left" w:pos="624"/>
        <w:tab w:val="left" w:pos="1247"/>
      </w:tabs>
    </w:pPr>
    <w:rPr>
      <w:b/>
      <w:bCs/>
    </w:rPr>
  </w:style>
  <w:style w:type="paragraph" w:customStyle="1" w:styleId="HesberWriters">
    <w:name w:val="Hesber Writers"/>
    <w:basedOn w:val="Hesber"/>
    <w:rsid w:val="00A7633F"/>
    <w:pPr>
      <w:spacing w:before="120" w:after="120"/>
      <w:ind w:left="1418"/>
      <w:jc w:val="right"/>
    </w:pPr>
    <w:rPr>
      <w:b/>
      <w:bCs/>
    </w:rPr>
  </w:style>
  <w:style w:type="paragraph" w:customStyle="1" w:styleId="Hesber1st">
    <w:name w:val="Hesber 1st"/>
    <w:basedOn w:val="Hesber"/>
    <w:rsid w:val="00A7633F"/>
    <w:pPr>
      <w:tabs>
        <w:tab w:val="left" w:pos="680"/>
        <w:tab w:val="left" w:pos="1020"/>
      </w:tabs>
      <w:ind w:firstLine="0"/>
    </w:pPr>
  </w:style>
  <w:style w:type="character" w:styleId="a6">
    <w:name w:val="endnote reference"/>
    <w:basedOn w:val="a0"/>
    <w:semiHidden/>
    <w:rsid w:val="00A7633F"/>
    <w:rPr>
      <w:vertAlign w:val="superscript"/>
    </w:rPr>
  </w:style>
  <w:style w:type="paragraph" w:customStyle="1" w:styleId="TableBlockOutdent">
    <w:name w:val="Table BlockOutdent"/>
    <w:basedOn w:val="TableBlock"/>
    <w:rsid w:val="00A7633F"/>
    <w:pPr>
      <w:ind w:left="624" w:hanging="624"/>
    </w:pPr>
  </w:style>
  <w:style w:type="paragraph" w:styleId="a7">
    <w:name w:val="header"/>
    <w:basedOn w:val="a"/>
    <w:rsid w:val="00A7633F"/>
    <w:pPr>
      <w:tabs>
        <w:tab w:val="center" w:pos="4153"/>
        <w:tab w:val="right" w:pos="8306"/>
      </w:tabs>
    </w:pPr>
  </w:style>
  <w:style w:type="paragraph" w:styleId="a8">
    <w:name w:val="footer"/>
    <w:basedOn w:val="a"/>
    <w:rsid w:val="00A7633F"/>
    <w:pPr>
      <w:tabs>
        <w:tab w:val="center" w:pos="4153"/>
        <w:tab w:val="right" w:pos="8306"/>
      </w:tabs>
    </w:pPr>
  </w:style>
  <w:style w:type="paragraph" w:customStyle="1" w:styleId="HeadDivreiHesber">
    <w:name w:val="Head DivreiHesber"/>
    <w:basedOn w:val="a"/>
    <w:rsid w:val="00A7633F"/>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A7633F"/>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A7633F"/>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paragraph" w:styleId="NormalWeb">
    <w:name w:val="Normal (Web)"/>
    <w:basedOn w:val="a"/>
    <w:semiHidden/>
    <w:unhideWhenUsed/>
    <w:rsid w:val="00873C8C"/>
    <w:rPr>
      <w:rFonts w:ascii="Times New Roman" w:hAnsi="Times New Roman" w:cs="Times New Roman"/>
    </w:rPr>
  </w:style>
  <w:style w:type="character" w:customStyle="1" w:styleId="10">
    <w:name w:val="כותרת 1 תו"/>
    <w:basedOn w:val="a0"/>
    <w:link w:val="1"/>
    <w:uiPriority w:val="9"/>
    <w:rsid w:val="00A7633F"/>
    <w:rPr>
      <w:rFonts w:asciiTheme="majorHAnsi" w:eastAsiaTheme="majorEastAsia" w:hAnsiTheme="majorHAnsi" w:cs="David"/>
      <w:bCs/>
      <w:sz w:val="32"/>
      <w:szCs w:val="36"/>
    </w:rPr>
  </w:style>
  <w:style w:type="character" w:customStyle="1" w:styleId="20">
    <w:name w:val="כותרת 2 תו"/>
    <w:basedOn w:val="a0"/>
    <w:link w:val="2"/>
    <w:rsid w:val="00A7633F"/>
    <w:rPr>
      <w:rFonts w:asciiTheme="majorHAnsi" w:eastAsiaTheme="majorEastAsia" w:hAnsiTheme="majorHAnsi" w:cs="David"/>
      <w:bCs/>
      <w:sz w:val="26"/>
      <w:szCs w:val="36"/>
      <w:u w:val="single"/>
    </w:rPr>
  </w:style>
  <w:style w:type="character" w:customStyle="1" w:styleId="30">
    <w:name w:val="כותרת 3 תו"/>
    <w:basedOn w:val="a0"/>
    <w:link w:val="3"/>
    <w:rsid w:val="00A7633F"/>
    <w:rPr>
      <w:rFonts w:asciiTheme="majorHAnsi" w:eastAsiaTheme="majorEastAsia" w:hAnsiTheme="majorHAnsi" w:cs="David"/>
      <w:sz w:val="24"/>
      <w:szCs w:val="28"/>
      <w:u w:val="double"/>
    </w:rPr>
  </w:style>
  <w:style w:type="character" w:customStyle="1" w:styleId="40">
    <w:name w:val="כותרת 4 תו"/>
    <w:basedOn w:val="a0"/>
    <w:link w:val="4"/>
    <w:uiPriority w:val="9"/>
    <w:rsid w:val="00A7633F"/>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A7633F"/>
    <w:rPr>
      <w:rFonts w:ascii="David" w:eastAsiaTheme="minorHAnsi" w:hAnsi="David" w:cs="David"/>
      <w:color w:val="000000" w:themeColor="text1"/>
      <w:sz w:val="24"/>
      <w:szCs w:val="24"/>
    </w:rPr>
  </w:style>
  <w:style w:type="paragraph" w:styleId="ad">
    <w:name w:val="TOC Heading"/>
    <w:basedOn w:val="1"/>
    <w:next w:val="a"/>
    <w:uiPriority w:val="39"/>
    <w:unhideWhenUsed/>
    <w:qFormat/>
    <w:rsid w:val="00A7633F"/>
    <w:pPr>
      <w:widowControl/>
      <w:spacing w:before="120" w:after="120"/>
      <w:outlineLvl w:val="9"/>
    </w:pPr>
    <w:rPr>
      <w:rtl/>
      <w:cs/>
    </w:rPr>
  </w:style>
  <w:style w:type="paragraph" w:styleId="TOC1">
    <w:name w:val="toc 1"/>
    <w:basedOn w:val="a"/>
    <w:next w:val="a"/>
    <w:autoRedefine/>
    <w:uiPriority w:val="39"/>
    <w:unhideWhenUsed/>
    <w:rsid w:val="00A7633F"/>
    <w:pPr>
      <w:tabs>
        <w:tab w:val="right" w:leader="dot" w:pos="9629"/>
      </w:tabs>
      <w:spacing w:after="100"/>
    </w:pPr>
    <w:rPr>
      <w:bCs/>
      <w:szCs w:val="22"/>
    </w:rPr>
  </w:style>
  <w:style w:type="paragraph" w:styleId="TOC2">
    <w:name w:val="toc 2"/>
    <w:basedOn w:val="a"/>
    <w:next w:val="a"/>
    <w:uiPriority w:val="39"/>
    <w:unhideWhenUsed/>
    <w:rsid w:val="00A7633F"/>
    <w:pPr>
      <w:tabs>
        <w:tab w:val="right" w:leader="dot" w:pos="9628"/>
      </w:tabs>
      <w:spacing w:after="100"/>
    </w:pPr>
    <w:rPr>
      <w:szCs w:val="22"/>
    </w:rPr>
  </w:style>
  <w:style w:type="character" w:styleId="Hyperlink">
    <w:name w:val="Hyperlink"/>
    <w:basedOn w:val="a0"/>
    <w:uiPriority w:val="99"/>
    <w:unhideWhenUsed/>
    <w:rsid w:val="00A7633F"/>
    <w:rPr>
      <w:color w:val="0000FF" w:themeColor="hyperlink"/>
      <w:u w:val="single"/>
    </w:rPr>
  </w:style>
  <w:style w:type="paragraph" w:styleId="TOC3">
    <w:name w:val="toc 3"/>
    <w:basedOn w:val="a"/>
    <w:next w:val="a"/>
    <w:uiPriority w:val="39"/>
    <w:unhideWhenUsed/>
    <w:rsid w:val="00A7633F"/>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A7633F"/>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A7633F"/>
    <w:pPr>
      <w:tabs>
        <w:tab w:val="right" w:leader="dot" w:pos="9628"/>
      </w:tabs>
      <w:spacing w:after="100"/>
      <w:ind w:left="567"/>
    </w:pPr>
    <w:rPr>
      <w:szCs w:val="22"/>
    </w:rPr>
  </w:style>
  <w:style w:type="paragraph" w:styleId="TOC6">
    <w:name w:val="toc 6"/>
    <w:basedOn w:val="a"/>
    <w:next w:val="a"/>
    <w:autoRedefine/>
    <w:semiHidden/>
    <w:unhideWhenUsed/>
    <w:rsid w:val="00A7633F"/>
    <w:pPr>
      <w:spacing w:after="100"/>
      <w:ind w:left="850"/>
    </w:pPr>
  </w:style>
  <w:style w:type="paragraph" w:styleId="TOC7">
    <w:name w:val="toc 7"/>
    <w:basedOn w:val="a"/>
    <w:next w:val="a"/>
    <w:autoRedefine/>
    <w:semiHidden/>
    <w:unhideWhenUsed/>
    <w:rsid w:val="00A7633F"/>
    <w:pPr>
      <w:spacing w:after="100"/>
      <w:ind w:left="1020"/>
    </w:pPr>
  </w:style>
  <w:style w:type="paragraph" w:styleId="TOC8">
    <w:name w:val="toc 8"/>
    <w:basedOn w:val="a"/>
    <w:next w:val="a"/>
    <w:autoRedefine/>
    <w:semiHidden/>
    <w:unhideWhenUsed/>
    <w:rsid w:val="00A7633F"/>
    <w:pPr>
      <w:spacing w:after="100"/>
      <w:ind w:left="1190"/>
    </w:pPr>
  </w:style>
  <w:style w:type="paragraph" w:styleId="TOC9">
    <w:name w:val="toc 9"/>
    <w:basedOn w:val="a"/>
    <w:next w:val="a"/>
    <w:autoRedefine/>
    <w:semiHidden/>
    <w:unhideWhenUsed/>
    <w:rsid w:val="00A7633F"/>
    <w:pPr>
      <w:spacing w:after="100"/>
      <w:ind w:left="1360"/>
    </w:pPr>
  </w:style>
  <w:style w:type="paragraph" w:customStyle="1" w:styleId="TableHead2">
    <w:name w:val="Table Head2"/>
    <w:basedOn w:val="TableHead"/>
    <w:qFormat/>
    <w:rsid w:val="00A7633F"/>
    <w:pPr>
      <w:outlineLvl w:val="9"/>
    </w:pPr>
  </w:style>
  <w:style w:type="paragraph" w:customStyle="1" w:styleId="TableSideHeading2">
    <w:name w:val="Table SideHeading2"/>
    <w:basedOn w:val="TableSideHeading"/>
    <w:autoRedefine/>
    <w:qFormat/>
    <w:rsid w:val="00A7633F"/>
    <w:pPr>
      <w:keepLines w:val="0"/>
      <w:outlineLvl w:val="9"/>
    </w:pPr>
  </w:style>
  <w:style w:type="paragraph" w:customStyle="1" w:styleId="0">
    <w:name w:val="סגנון שורה ראשונה:  0  ס''מ"/>
    <w:basedOn w:val="2"/>
    <w:rsid w:val="00A7633F"/>
    <w:rPr>
      <w:rFonts w:eastAsia="Times New Roman"/>
    </w:rPr>
  </w:style>
  <w:style w:type="paragraph" w:styleId="ae">
    <w:name w:val="List Paragraph"/>
    <w:basedOn w:val="a"/>
    <w:uiPriority w:val="34"/>
    <w:qFormat/>
    <w:rsid w:val="00A7633F"/>
    <w:pPr>
      <w:widowControl/>
      <w:spacing w:line="259" w:lineRule="auto"/>
    </w:pPr>
    <w:rPr>
      <w:rFonts w:asciiTheme="minorHAnsi" w:hAnsiTheme="minorHAnsi"/>
      <w:sz w:val="22"/>
    </w:rPr>
  </w:style>
  <w:style w:type="table" w:styleId="af">
    <w:name w:val="Table Grid"/>
    <w:basedOn w:val="a1"/>
    <w:rsid w:val="00A76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A7633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A7633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0">
    <w:name w:val="טבלת חקיקה"/>
    <w:basedOn w:val="a1"/>
    <w:uiPriority w:val="99"/>
    <w:rsid w:val="00A7633F"/>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A7633F"/>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097378">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9A4B4D6-B23F-4856-9FFB-85216EE51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DBD7864E-C66E-4AD6-B60E-6644C246B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273</Words>
  <Characters>1557</Characters>
  <Application>Microsoft Office Word</Application>
  <DocSecurity>0</DocSecurity>
  <Lines>12</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דניאלה ווייס עמר</cp:lastModifiedBy>
  <cp:revision>8</cp:revision>
  <cp:lastPrinted>2013-07-04T08:25:00Z</cp:lastPrinted>
  <dcterms:created xsi:type="dcterms:W3CDTF">2015-04-20T09:58:00Z</dcterms:created>
  <dcterms:modified xsi:type="dcterms:W3CDTF">2021-05-10T10:49:00Z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2157192</vt:r8>
  </property>
</Properties>
</file>