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2156241</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יוזמת:</w:t>
      </w:r>
      <w:r>
        <w:tab/>
      </w:r>
      <w:r>
        <w:rPr>
          <w:b/>
          <w:bCs/>
          <w:rtl/>
        </w:rPr>
        <w:t xml:space="preserve">      חברת הכנסת</w:t>
      </w:r>
      <w:bookmarkEnd w:id="2"/>
      <w:r w:rsidR="00B35784" w:rsidRPr="00F67051">
        <w:rPr>
          <w:b/>
          <w:bCs/>
        </w:rPr>
        <w:tab/>
      </w:r>
      <w:bookmarkStart w:id="3" w:name="LGS_PM_Names"/>
      <w:r>
        <w:rPr>
          <w:rFonts w:hint="cs"/>
          <w:b/>
          <w:bCs/>
          <w:rtl/>
        </w:rPr>
        <w:t>חוה אתי עטייה</w:t>
      </w:r>
      <w:bookmarkEnd w:id="3"/>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6447D482" w:rsidR="00E13C27" w:rsidRPr="00E06736" w:rsidRDefault="00904591" w:rsidP="00EE5F82">
      <w:pPr>
        <w:pStyle w:val="David"/>
        <w:spacing w:line="240" w:lineRule="auto"/>
        <w:ind w:left="6424" w:firstLine="56"/>
        <w:rPr>
          <w:rtl/>
        </w:rPr>
      </w:pPr>
      <w:bookmarkStart w:id="4" w:name="Private_Number"/>
      <w:r>
        <w:rPr>
          <w:rFonts w:hint="cs"/>
          <w:rtl/>
        </w:rPr>
        <w:t>פ/748/24</w:t>
      </w:r>
      <w:bookmarkEnd w:id="4"/>
    </w:p>
    <w:p w14:paraId="7F6961AC" w14:textId="77777777" w:rsidR="00E13C27" w:rsidRDefault="00E13C27" w:rsidP="00E13C27">
      <w:pPr>
        <w:ind w:left="2880" w:firstLine="720"/>
        <w:rPr>
          <w:sz w:val="26"/>
          <w:szCs w:val="26"/>
          <w:rtl/>
        </w:rPr>
      </w:pPr>
    </w:p>
    <w:p w14:paraId="7F6961AD" w14:textId="77777777" w:rsidR="00E13C27" w:rsidRPr="00F67051" w:rsidRDefault="00A443CF" w:rsidP="0021633A">
      <w:pPr>
        <w:pStyle w:val="HeadHatzaotHok"/>
        <w:rPr>
          <w:rtl/>
        </w:rPr>
      </w:pPr>
      <w:bookmarkStart w:id="5" w:name="LGS_Subject"/>
      <w:r>
        <w:rPr>
          <w:rFonts w:hint="cs"/>
          <w:rtl/>
        </w:rPr>
        <w:t>הצעת חוק ההוצאה לפועל (תיקון – הגבלת עיקול מיטלטליו של קשיש), התשפ"א–2021</w:t>
      </w:r>
      <w:bookmarkEnd w:id="5"/>
    </w:p>
    <w:p w14:paraId="4FC62398" w14:textId="77777777" w:rsidR="00C1757E" w:rsidRDefault="00C1757E" w:rsidP="00C1757E">
      <w:pPr>
        <w:pStyle w:val="HeadDivreiHesber"/>
        <w:spacing w:before="0" w:after="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624"/>
        <w:gridCol w:w="624"/>
        <w:gridCol w:w="624"/>
        <w:gridCol w:w="624"/>
        <w:gridCol w:w="4647"/>
      </w:tblGrid>
      <w:tr w:rsidR="00C1757E" w14:paraId="58867AC9" w14:textId="77777777" w:rsidTr="00603BF6">
        <w:trPr>
          <w:cantSplit/>
        </w:trPr>
        <w:tc>
          <w:tcPr>
            <w:tcW w:w="1871" w:type="dxa"/>
            <w:hideMark/>
          </w:tcPr>
          <w:p w14:paraId="7F506385" w14:textId="77777777" w:rsidR="00C1757E" w:rsidRDefault="00C1757E" w:rsidP="00F20902">
            <w:pPr>
              <w:pStyle w:val="TableSideHeading"/>
              <w:keepLines w:val="0"/>
            </w:pPr>
            <w:r>
              <w:rPr>
                <w:rtl/>
              </w:rPr>
              <w:t>הוספת סעיף 22א</w:t>
            </w:r>
          </w:p>
        </w:tc>
        <w:tc>
          <w:tcPr>
            <w:tcW w:w="624" w:type="dxa"/>
            <w:hideMark/>
          </w:tcPr>
          <w:p w14:paraId="4A06D555" w14:textId="77777777" w:rsidR="00C1757E" w:rsidRDefault="00C1757E" w:rsidP="00F20902">
            <w:pPr>
              <w:pStyle w:val="TableText"/>
              <w:keepLines w:val="0"/>
              <w:rPr>
                <w:rtl/>
              </w:rPr>
            </w:pPr>
            <w:r>
              <w:rPr>
                <w:rtl/>
              </w:rPr>
              <w:t>1.</w:t>
            </w:r>
          </w:p>
        </w:tc>
        <w:tc>
          <w:tcPr>
            <w:tcW w:w="7143" w:type="dxa"/>
            <w:gridSpan w:val="5"/>
            <w:hideMark/>
          </w:tcPr>
          <w:p w14:paraId="03330D00" w14:textId="77777777" w:rsidR="00C1757E" w:rsidRPr="00967DF4" w:rsidRDefault="00C1757E" w:rsidP="00603BF6">
            <w:pPr>
              <w:pStyle w:val="TableBlock"/>
              <w:rPr>
                <w:rtl/>
              </w:rPr>
            </w:pPr>
            <w:r w:rsidRPr="00967DF4">
              <w:rPr>
                <w:rtl/>
              </w:rPr>
              <w:t>בחוק ההוצאה לפועל, התשכ"ז–1967</w:t>
            </w:r>
            <w:r w:rsidRPr="00603BF6">
              <w:rPr>
                <w:rFonts w:ascii="David" w:hAnsi="David"/>
                <w:sz w:val="26"/>
                <w:szCs w:val="20"/>
                <w:vertAlign w:val="superscript"/>
                <w:rtl/>
              </w:rPr>
              <w:footnoteReference w:id="2"/>
            </w:r>
            <w:r w:rsidRPr="00967DF4">
              <w:rPr>
                <w:rtl/>
              </w:rPr>
              <w:t>, אחרי סעיף 22 יבוא:</w:t>
            </w:r>
          </w:p>
        </w:tc>
      </w:tr>
      <w:tr w:rsidR="00C1757E" w14:paraId="63D663F1" w14:textId="77777777" w:rsidTr="00603BF6">
        <w:trPr>
          <w:cantSplit/>
        </w:trPr>
        <w:tc>
          <w:tcPr>
            <w:tcW w:w="1871" w:type="dxa"/>
          </w:tcPr>
          <w:p w14:paraId="3A215D4B" w14:textId="77777777" w:rsidR="00C1757E" w:rsidRDefault="00C1757E" w:rsidP="00F20902">
            <w:pPr>
              <w:pStyle w:val="TableSideHeading"/>
            </w:pPr>
          </w:p>
        </w:tc>
        <w:tc>
          <w:tcPr>
            <w:tcW w:w="624" w:type="dxa"/>
          </w:tcPr>
          <w:p w14:paraId="2D04E2C9" w14:textId="77777777" w:rsidR="00C1757E" w:rsidRDefault="00C1757E" w:rsidP="00F20902">
            <w:pPr>
              <w:pStyle w:val="TableText"/>
            </w:pPr>
          </w:p>
        </w:tc>
        <w:tc>
          <w:tcPr>
            <w:tcW w:w="1872" w:type="dxa"/>
            <w:gridSpan w:val="3"/>
            <w:hideMark/>
          </w:tcPr>
          <w:p w14:paraId="2F7CF902" w14:textId="77777777" w:rsidR="00C1757E" w:rsidRPr="00C210D6" w:rsidRDefault="00C1757E" w:rsidP="00F20902">
            <w:pPr>
              <w:pStyle w:val="TableInnerSideHeading"/>
            </w:pPr>
            <w:r w:rsidRPr="00C210D6">
              <w:rPr>
                <w:rtl/>
              </w:rPr>
              <w:t>"עיקול מיטלטליו של קשיש</w:t>
            </w:r>
          </w:p>
        </w:tc>
        <w:tc>
          <w:tcPr>
            <w:tcW w:w="624" w:type="dxa"/>
            <w:hideMark/>
          </w:tcPr>
          <w:p w14:paraId="6869A036" w14:textId="77777777" w:rsidR="00C1757E" w:rsidRDefault="00C1757E" w:rsidP="00F20902">
            <w:pPr>
              <w:pStyle w:val="TableText"/>
              <w:jc w:val="both"/>
              <w:rPr>
                <w:rtl/>
              </w:rPr>
            </w:pPr>
            <w:r>
              <w:rPr>
                <w:rtl/>
              </w:rPr>
              <w:t>22א.</w:t>
            </w:r>
          </w:p>
        </w:tc>
        <w:tc>
          <w:tcPr>
            <w:tcW w:w="4647" w:type="dxa"/>
            <w:hideMark/>
          </w:tcPr>
          <w:p w14:paraId="37341355" w14:textId="77777777" w:rsidR="00C1757E" w:rsidRDefault="00C1757E" w:rsidP="00603BF6">
            <w:pPr>
              <w:pStyle w:val="TableBlock"/>
              <w:rPr>
                <w:rtl/>
              </w:rPr>
            </w:pPr>
            <w:r>
              <w:rPr>
                <w:rtl/>
              </w:rPr>
              <w:t>(א)</w:t>
            </w:r>
            <w:r>
              <w:rPr>
                <w:rtl/>
              </w:rPr>
              <w:tab/>
              <w:t xml:space="preserve">נוכח בעל תפקיד אשר מבצע עיקול מיטלטלין כי מלאו לחייב 70 שנים, </w:t>
            </w:r>
            <w:r w:rsidRPr="00C210D6">
              <w:rPr>
                <w:rtl/>
              </w:rPr>
              <w:t>ימסור</w:t>
            </w:r>
            <w:r>
              <w:rPr>
                <w:rtl/>
              </w:rPr>
              <w:t xml:space="preserve"> לו אזהרה שבה תצוין זכותו של החייב להגיש על כך התנגדות לרשם; לא יבצע בעל תפקיד עיקול כאמור אלא לאחר שחלפו 20 ימים מיום מסירת האזהרה ולא הוגשה התנגדות.</w:t>
            </w:r>
          </w:p>
        </w:tc>
      </w:tr>
      <w:tr w:rsidR="00C1757E" w14:paraId="72264AB0" w14:textId="77777777" w:rsidTr="00603BF6">
        <w:trPr>
          <w:cantSplit/>
        </w:trPr>
        <w:tc>
          <w:tcPr>
            <w:tcW w:w="1871" w:type="dxa"/>
          </w:tcPr>
          <w:p w14:paraId="32C4FA01" w14:textId="77777777" w:rsidR="00C1757E" w:rsidRDefault="00C1757E" w:rsidP="00F20902">
            <w:pPr>
              <w:pStyle w:val="TableSideHeading"/>
            </w:pPr>
          </w:p>
        </w:tc>
        <w:tc>
          <w:tcPr>
            <w:tcW w:w="624" w:type="dxa"/>
          </w:tcPr>
          <w:p w14:paraId="49B7CFF4" w14:textId="77777777" w:rsidR="00C1757E" w:rsidRDefault="00C1757E" w:rsidP="00F20902">
            <w:pPr>
              <w:pStyle w:val="TableText"/>
            </w:pPr>
          </w:p>
        </w:tc>
        <w:tc>
          <w:tcPr>
            <w:tcW w:w="624" w:type="dxa"/>
          </w:tcPr>
          <w:p w14:paraId="2BB1AA72" w14:textId="77777777" w:rsidR="00C1757E" w:rsidRDefault="00C1757E" w:rsidP="00F20902">
            <w:pPr>
              <w:pStyle w:val="TableText"/>
            </w:pPr>
          </w:p>
        </w:tc>
        <w:tc>
          <w:tcPr>
            <w:tcW w:w="624" w:type="dxa"/>
          </w:tcPr>
          <w:p w14:paraId="59E492FB" w14:textId="77777777" w:rsidR="00C1757E" w:rsidRDefault="00C1757E" w:rsidP="00F20902">
            <w:pPr>
              <w:pStyle w:val="TableText"/>
            </w:pPr>
          </w:p>
        </w:tc>
        <w:tc>
          <w:tcPr>
            <w:tcW w:w="624" w:type="dxa"/>
          </w:tcPr>
          <w:p w14:paraId="30E79089" w14:textId="77777777" w:rsidR="00C1757E" w:rsidRDefault="00C1757E" w:rsidP="00F20902">
            <w:pPr>
              <w:pStyle w:val="TableText"/>
            </w:pPr>
          </w:p>
        </w:tc>
        <w:tc>
          <w:tcPr>
            <w:tcW w:w="624" w:type="dxa"/>
          </w:tcPr>
          <w:p w14:paraId="3EA09A15" w14:textId="77777777" w:rsidR="00C1757E" w:rsidRDefault="00C1757E" w:rsidP="00F20902">
            <w:pPr>
              <w:pStyle w:val="TableText"/>
            </w:pPr>
          </w:p>
        </w:tc>
        <w:tc>
          <w:tcPr>
            <w:tcW w:w="4647" w:type="dxa"/>
          </w:tcPr>
          <w:p w14:paraId="3243E7F4" w14:textId="77777777" w:rsidR="00C1757E" w:rsidRDefault="00C1757E" w:rsidP="00603BF6">
            <w:pPr>
              <w:pStyle w:val="TableBlock"/>
            </w:pPr>
            <w:r>
              <w:rPr>
                <w:rtl/>
              </w:rPr>
              <w:t>(ב)</w:t>
            </w:r>
            <w:r>
              <w:rPr>
                <w:rtl/>
              </w:rPr>
              <w:tab/>
              <w:t>הוגשה התנגדות כאמור בסעיף קטן (א) ונוכח הרשם כי נסיבות העניין מצדיקות את ביצוע העיקול על אף שלחייב מלאו 70 שנים, יצווה על ביצוע העיקול מנימוקים שיירשמו; ניתן צו כאמור, רשאי בעל התפקיד לבצע את העיקול אף אם טרם חלפו 20 ימים מיום מסירת האזהרה.</w:t>
            </w:r>
          </w:p>
        </w:tc>
      </w:tr>
      <w:tr w:rsidR="00C1757E" w14:paraId="6EF18C33" w14:textId="77777777" w:rsidTr="00603BF6">
        <w:trPr>
          <w:cantSplit/>
        </w:trPr>
        <w:tc>
          <w:tcPr>
            <w:tcW w:w="1871" w:type="dxa"/>
          </w:tcPr>
          <w:p w14:paraId="420C33FB" w14:textId="77777777" w:rsidR="00C1757E" w:rsidRDefault="00C1757E" w:rsidP="00F20902">
            <w:pPr>
              <w:pStyle w:val="TableSideHeading"/>
              <w:rPr>
                <w:rtl/>
              </w:rPr>
            </w:pPr>
          </w:p>
        </w:tc>
        <w:tc>
          <w:tcPr>
            <w:tcW w:w="624" w:type="dxa"/>
          </w:tcPr>
          <w:p w14:paraId="6932E957" w14:textId="77777777" w:rsidR="00C1757E" w:rsidRDefault="00C1757E" w:rsidP="00F20902">
            <w:pPr>
              <w:pStyle w:val="TableText"/>
            </w:pPr>
          </w:p>
        </w:tc>
        <w:tc>
          <w:tcPr>
            <w:tcW w:w="624" w:type="dxa"/>
          </w:tcPr>
          <w:p w14:paraId="612EA18B" w14:textId="77777777" w:rsidR="00C1757E" w:rsidRDefault="00C1757E" w:rsidP="00F20902">
            <w:pPr>
              <w:pStyle w:val="TableText"/>
            </w:pPr>
          </w:p>
        </w:tc>
        <w:tc>
          <w:tcPr>
            <w:tcW w:w="624" w:type="dxa"/>
          </w:tcPr>
          <w:p w14:paraId="54F843C3" w14:textId="77777777" w:rsidR="00C1757E" w:rsidRDefault="00C1757E" w:rsidP="00F20902">
            <w:pPr>
              <w:pStyle w:val="TableText"/>
            </w:pPr>
          </w:p>
        </w:tc>
        <w:tc>
          <w:tcPr>
            <w:tcW w:w="624" w:type="dxa"/>
          </w:tcPr>
          <w:p w14:paraId="534C69C1" w14:textId="77777777" w:rsidR="00C1757E" w:rsidRDefault="00C1757E" w:rsidP="00F20902">
            <w:pPr>
              <w:pStyle w:val="TableText"/>
            </w:pPr>
          </w:p>
        </w:tc>
        <w:tc>
          <w:tcPr>
            <w:tcW w:w="624" w:type="dxa"/>
          </w:tcPr>
          <w:p w14:paraId="3581E9C1" w14:textId="77777777" w:rsidR="00C1757E" w:rsidRDefault="00C1757E" w:rsidP="00F20902">
            <w:pPr>
              <w:pStyle w:val="TableText"/>
            </w:pPr>
          </w:p>
        </w:tc>
        <w:tc>
          <w:tcPr>
            <w:tcW w:w="4647" w:type="dxa"/>
          </w:tcPr>
          <w:p w14:paraId="53F16661" w14:textId="77777777" w:rsidR="00C1757E" w:rsidRDefault="00C1757E" w:rsidP="00603BF6">
            <w:pPr>
              <w:pStyle w:val="TableBlock"/>
              <w:rPr>
                <w:rtl/>
              </w:rPr>
            </w:pPr>
            <w:r>
              <w:rPr>
                <w:rtl/>
              </w:rPr>
              <w:t>(ג)</w:t>
            </w:r>
            <w:r>
              <w:rPr>
                <w:rtl/>
              </w:rPr>
              <w:tab/>
              <w:t>הוראות סעיף קטן (א) לא יחולו במקרה שבו בעת הגעת בעל התפקיד נוכח בבית החייב בן משפחתו שמלאו לו 21 שנים וטרם מלאו לו 70 שנים."</w:t>
            </w:r>
          </w:p>
        </w:tc>
      </w:tr>
    </w:tbl>
    <w:p w14:paraId="439C6F1F" w14:textId="77777777" w:rsidR="00C1757E" w:rsidRPr="00603BF6" w:rsidRDefault="00C1757E" w:rsidP="00603BF6">
      <w:pPr>
        <w:pStyle w:val="HeadDivreiHesber"/>
        <w:rPr>
          <w:rtl/>
        </w:rPr>
      </w:pPr>
      <w:r w:rsidRPr="00603BF6">
        <w:rPr>
          <w:rFonts w:hint="cs"/>
          <w:rtl/>
        </w:rPr>
        <w:t>דברי הסבר</w:t>
      </w:r>
    </w:p>
    <w:p w14:paraId="635FD5FF" w14:textId="77777777" w:rsidR="00C1757E" w:rsidRPr="00603BF6" w:rsidRDefault="00C1757E" w:rsidP="00603BF6">
      <w:pPr>
        <w:pStyle w:val="Hesber"/>
        <w:rPr>
          <w:rtl/>
        </w:rPr>
      </w:pPr>
      <w:r w:rsidRPr="00603BF6">
        <w:rPr>
          <w:rtl/>
        </w:rPr>
        <w:t xml:space="preserve">לחברה הישראלית מחויבות עמוקה ושורשית להגן על קשישי מדינת ישראל בכל דרך על מנת להשיב להם ולו במקצת את אשר תרמו למדינה בעודם צעירים. מחויבותה של מדינת ישראל, אשר הפסוקים "והדרת פני זקן" ו"לפני שיבה תקום" מהווים נר לרגליה, להגנה על קשישי ישראל מעוגנת בחקיקה </w:t>
      </w:r>
      <w:r w:rsidRPr="00603BF6">
        <w:rPr>
          <w:rtl/>
        </w:rPr>
        <w:lastRenderedPageBreak/>
        <w:t xml:space="preserve">מגוונת. </w:t>
      </w:r>
    </w:p>
    <w:p w14:paraId="6EA17A64" w14:textId="77777777" w:rsidR="00C1757E" w:rsidRPr="00603BF6" w:rsidRDefault="00C1757E" w:rsidP="00603BF6">
      <w:pPr>
        <w:pStyle w:val="Hesber"/>
        <w:rPr>
          <w:rtl/>
        </w:rPr>
      </w:pPr>
      <w:r w:rsidRPr="00603BF6">
        <w:rPr>
          <w:rtl/>
        </w:rPr>
        <w:t>הצעת חוק זו מבקשת לשמר את כבודם של קשישי האוכלוסייה, כך שגם אם עומדת נגדם תביעת הוצאה לפועל</w:t>
      </w:r>
      <w:r w:rsidRPr="00603BF6">
        <w:rPr>
          <w:rFonts w:hint="cs"/>
          <w:rtl/>
        </w:rPr>
        <w:t>,</w:t>
      </w:r>
      <w:r w:rsidRPr="00603BF6">
        <w:rPr>
          <w:rtl/>
        </w:rPr>
        <w:t xml:space="preserve"> אל למעקלים להיכנס לביתו של הקשיש ולעקל רכושו ללא צו רשם ההוצאה לפועל, אשר בחן את הנושא ונתן דעתו ואישורו לכך.</w:t>
      </w:r>
    </w:p>
    <w:p w14:paraId="43E1379A" w14:textId="77777777" w:rsidR="00C1757E" w:rsidRPr="00603BF6" w:rsidRDefault="00C1757E" w:rsidP="00603BF6">
      <w:pPr>
        <w:pStyle w:val="Hesber"/>
        <w:rPr>
          <w:rtl/>
        </w:rPr>
      </w:pPr>
      <w:r w:rsidRPr="00603BF6">
        <w:rPr>
          <w:rtl/>
        </w:rPr>
        <w:t xml:space="preserve">לפי המוצע, אם המעקל נוכח כי החייב עבר את גיל 70, ימסור לחייב אזהרה שבה יוסבר לו כי באפשרותו להגיש התנגדות לעיקול או לשלם את חובו, זאת בתוך 20 ימים. אם חלפו אותם 20 ימים או שהרשם נוכח כי הנסיבות מצדיקות לבצע את העיקול למרות גילו של החייב ונתן צו בהתאם, אפשר יהיה לבצע את צו העיקול. אם נוכח בבית החייב בן משפחה מעל לגיל 21 ומתחת לגיל 70 הוראות אלה לא יחולו. </w:t>
      </w:r>
    </w:p>
    <w:p w14:paraId="321EF0BA" w14:textId="77777777" w:rsidR="00C1757E" w:rsidRPr="00603BF6" w:rsidRDefault="00C1757E" w:rsidP="00603BF6">
      <w:pPr>
        <w:pStyle w:val="Hesber"/>
        <w:rPr>
          <w:rtl/>
        </w:rPr>
      </w:pPr>
      <w:r w:rsidRPr="00603BF6">
        <w:rPr>
          <w:rtl/>
        </w:rPr>
        <w:t>דוח הלשכה המרכזית לסטטיסטיקה משנת 2014 מציג תמונה עגומה על בני גיל הזהב: כמעט מחצית מהישראלים בני 75 ומעלה רשומים במחלקות לשירותים חברתיים, ואחוזי ההוצאה על סעיפי הדיור, הבריאות ותחזוקת הדירה ומשק הבית גבוהים יותר במשקי בית של בני 65 ומעלה לעומת כל האוכלוסייה. בנוסף, כ-186 אלף מבין בני ה-65 ומעלה גרים בגפם</w:t>
      </w:r>
      <w:r w:rsidRPr="00603BF6">
        <w:rPr>
          <w:rFonts w:hint="cs"/>
          <w:rtl/>
        </w:rPr>
        <w:t xml:space="preserve"> (הלשכה המרכזית לסטטיסטיקה לקט נתונים על בני 65 ומעלה (2014))</w:t>
      </w:r>
      <w:r w:rsidRPr="00603BF6">
        <w:rPr>
          <w:rtl/>
        </w:rPr>
        <w:t xml:space="preserve">. </w:t>
      </w:r>
    </w:p>
    <w:p w14:paraId="6805EAFB" w14:textId="77777777" w:rsidR="00C1757E" w:rsidRPr="00603BF6" w:rsidRDefault="00C1757E" w:rsidP="00603BF6">
      <w:pPr>
        <w:pStyle w:val="Hesber"/>
        <w:rPr>
          <w:rtl/>
        </w:rPr>
      </w:pPr>
      <w:r w:rsidRPr="00603BF6">
        <w:rPr>
          <w:rFonts w:hint="cs"/>
          <w:rtl/>
        </w:rPr>
        <w:t>לאור</w:t>
      </w:r>
      <w:r w:rsidRPr="00603BF6">
        <w:rPr>
          <w:rtl/>
        </w:rPr>
        <w:t xml:space="preserve"> ההבנה כי מדובר בפלח אוכלוסייה מוחלש בעל אפשרויות פרנסה מצומצמות ונמוכות מאלה של אדם צעיר, גם אם אכן צבר חוב כזה או אחר, על רשם ההוצאה לפועל לתת לאוכלוסייה זו יחס מיוחד. </w:t>
      </w:r>
    </w:p>
    <w:p w14:paraId="632537BE" w14:textId="232BF5A3" w:rsidR="00391AEF" w:rsidRDefault="00C1757E" w:rsidP="00391AEF">
      <w:pPr>
        <w:pStyle w:val="Hesber"/>
        <w:rPr>
          <w:rtl/>
        </w:rPr>
      </w:pPr>
      <w:r w:rsidRPr="00603BF6">
        <w:rPr>
          <w:rtl/>
        </w:rPr>
        <w:t>הצע</w:t>
      </w:r>
      <w:r w:rsidRPr="00603BF6">
        <w:rPr>
          <w:rFonts w:hint="cs"/>
          <w:rtl/>
        </w:rPr>
        <w:t>ו</w:t>
      </w:r>
      <w:r w:rsidRPr="00603BF6">
        <w:rPr>
          <w:rtl/>
        </w:rPr>
        <w:t>ת חוק זה</w:t>
      </w:r>
      <w:r w:rsidRPr="00603BF6">
        <w:rPr>
          <w:rFonts w:hint="cs"/>
          <w:rtl/>
        </w:rPr>
        <w:t>ות</w:t>
      </w:r>
      <w:r w:rsidRPr="00603BF6">
        <w:rPr>
          <w:rtl/>
        </w:rPr>
        <w:t xml:space="preserve"> הונח</w:t>
      </w:r>
      <w:r w:rsidRPr="00603BF6">
        <w:rPr>
          <w:rFonts w:hint="cs"/>
          <w:rtl/>
        </w:rPr>
        <w:t>ו</w:t>
      </w:r>
      <w:r w:rsidRPr="00603BF6">
        <w:rPr>
          <w:rtl/>
        </w:rPr>
        <w:t xml:space="preserve"> על שולחן הכנסת התשע-עשרה על ידי חברת הכנסת פנינה תמנו-שטה וקבוצת חברי הכנסת (פ/2885/19), על שולחן הכנסת ה</w:t>
      </w:r>
      <w:r w:rsidRPr="00603BF6">
        <w:rPr>
          <w:rFonts w:hint="cs"/>
          <w:rtl/>
        </w:rPr>
        <w:t xml:space="preserve">עשרים </w:t>
      </w:r>
      <w:r w:rsidRPr="00603BF6">
        <w:rPr>
          <w:rtl/>
        </w:rPr>
        <w:t>על ידי חברת הכנסת מרב מיכאלי (פ/1110/20)</w:t>
      </w:r>
      <w:r w:rsidRPr="00603BF6">
        <w:rPr>
          <w:rFonts w:hint="cs"/>
          <w:rtl/>
        </w:rPr>
        <w:t xml:space="preserve"> ו</w:t>
      </w:r>
      <w:r w:rsidRPr="00603BF6">
        <w:rPr>
          <w:rtl/>
        </w:rPr>
        <w:t>על ידי חבר הכנסת דב חנין וקבוצת חברי הכנסת (פ/3738/20)</w:t>
      </w:r>
      <w:r w:rsidRPr="00603BF6">
        <w:rPr>
          <w:rFonts w:hint="cs"/>
          <w:rtl/>
        </w:rPr>
        <w:t xml:space="preserve">, על שולחן הכנסת העשרים ושתיים על ידי חבר הכנסת איציק שמולי (פ/388/22) ועל ידי חברת הכנסת מרב מיכאלי (פ/1392/22), ועל שולחן הכנסת העשרים ושלוש על ידי חברת </w:t>
      </w:r>
      <w:r w:rsidR="00EE5F82">
        <w:rPr>
          <w:rFonts w:hint="cs"/>
          <w:rtl/>
        </w:rPr>
        <w:t>הכנסת חוה אתי עטייה (פ/1337/23)</w:t>
      </w:r>
      <w:r w:rsidRPr="00603BF6">
        <w:rPr>
          <w:rFonts w:hint="cs"/>
          <w:rtl/>
        </w:rPr>
        <w:t xml:space="preserve"> </w:t>
      </w:r>
      <w:r w:rsidR="005177BC">
        <w:rPr>
          <w:rFonts w:hint="cs"/>
          <w:rtl/>
        </w:rPr>
        <w:t>ו</w:t>
      </w:r>
      <w:r w:rsidRPr="00603BF6">
        <w:rPr>
          <w:rFonts w:hint="cs"/>
          <w:rtl/>
        </w:rPr>
        <w:t>על ידי חבר הכנסת איציק שמולי (פ/492/23</w:t>
      </w:r>
      <w:r w:rsidR="00603BF6" w:rsidRPr="00603BF6">
        <w:rPr>
          <w:rFonts w:hint="cs"/>
          <w:rtl/>
        </w:rPr>
        <w:t xml:space="preserve">; </w:t>
      </w:r>
      <w:r w:rsidRPr="00603BF6">
        <w:rPr>
          <w:rFonts w:hint="cs"/>
          <w:rtl/>
        </w:rPr>
        <w:t>הוסרה מסדר היום ביום ב' בסיוון התש"ף (25 במאי 2020)</w:t>
      </w:r>
      <w:r w:rsidR="00603BF6" w:rsidRPr="00603BF6">
        <w:rPr>
          <w:rFonts w:hint="cs"/>
          <w:rtl/>
        </w:rPr>
        <w:t>)</w:t>
      </w:r>
      <w:r w:rsidR="00391AEF">
        <w:rPr>
          <w:rFonts w:hint="cs"/>
          <w:rtl/>
        </w:rPr>
        <w:t xml:space="preserve">. </w:t>
      </w:r>
    </w:p>
    <w:p w14:paraId="4614901A" w14:textId="25D85103" w:rsidR="00C1757E" w:rsidRDefault="00391AEF" w:rsidP="00391AEF">
      <w:pPr>
        <w:pStyle w:val="Hesber"/>
        <w:rPr>
          <w:rtl/>
        </w:rPr>
      </w:pPr>
      <w:r>
        <w:rPr>
          <w:rFonts w:hint="cs"/>
          <w:rtl/>
        </w:rPr>
        <w:t>הצעת חוק דומה בעיקרה הונחה על שולחן הכנסת העשרים ושלוש ע</w:t>
      </w:r>
      <w:r w:rsidR="00C1757E" w:rsidRPr="00603BF6">
        <w:rPr>
          <w:rFonts w:hint="cs"/>
          <w:rtl/>
        </w:rPr>
        <w:t>ל ידי חברת הכנסת מרב מיכאלי (פ/493/23)</w:t>
      </w:r>
      <w:r w:rsidR="00C1757E" w:rsidRPr="00603BF6">
        <w:rPr>
          <w:rtl/>
        </w:rPr>
        <w:t>.</w:t>
      </w:r>
    </w:p>
    <w:p w14:paraId="2700619E" w14:textId="4D40E4EE" w:rsidR="00A77C37" w:rsidRDefault="00DF3290" w:rsidP="00EE5F82">
      <w:pPr>
        <w:pStyle w:val="Hesber"/>
        <w:rPr>
          <w:rtl/>
        </w:rPr>
      </w:pPr>
      <w:r>
        <w:rPr>
          <w:rtl/>
        </w:rPr>
        <w:t>הצע</w:t>
      </w:r>
      <w:r>
        <w:rPr>
          <w:rFonts w:hint="cs"/>
          <w:rtl/>
        </w:rPr>
        <w:t>ת החוק</w:t>
      </w:r>
      <w:bookmarkStart w:id="6" w:name="_GoBack"/>
      <w:bookmarkEnd w:id="6"/>
      <w:r w:rsidR="00E705C5" w:rsidRPr="00E705C5">
        <w:rPr>
          <w:rtl/>
        </w:rPr>
        <w:t xml:space="preserve"> זהה לפ/</w:t>
      </w:r>
      <w:r w:rsidR="00E705C5" w:rsidRPr="00603BF6">
        <w:rPr>
          <w:rFonts w:hint="cs"/>
          <w:rtl/>
        </w:rPr>
        <w:t>492/23</w:t>
      </w:r>
      <w:r w:rsidR="00E705C5" w:rsidRPr="00E705C5">
        <w:rPr>
          <w:rtl/>
        </w:rPr>
        <w:t xml:space="preserve"> ולפיכך לא נבדקה מחדש על ידי הלשכה המשפטית של הכנסת</w:t>
      </w:r>
      <w:r w:rsidR="00E705C5">
        <w:rPr>
          <w:rFonts w:hint="cs"/>
          <w:rtl/>
        </w:rPr>
        <w:t>.</w:t>
      </w:r>
      <w:r w:rsidR="00EE5F82">
        <w:rPr>
          <w:rtl/>
        </w:rPr>
        <w:t xml:space="preserve"> </w:t>
      </w:r>
    </w:p>
    <w:p w14:paraId="7F6961CB" w14:textId="77777777" w:rsidR="00E13C27" w:rsidRDefault="00E13C27" w:rsidP="00A77C37">
      <w:pPr>
        <w:pStyle w:val="HeadDivreiHesber"/>
        <w:spacing w:before="0" w:after="0"/>
        <w:rPr>
          <w:rtl/>
        </w:rPr>
      </w:pPr>
    </w:p>
    <w:p w14:paraId="54AF54A5" w14:textId="77777777" w:rsidR="00CF2146" w:rsidRDefault="00DF3290">
      <w:pPr>
        <w:jc w:val="left"/>
      </w:pPr>
      <w:bookmarkStart w:id="7" w:name="selectedDocDateB"/>
      <w:bookmarkEnd w:id="7"/>
      <w:r>
        <w:rPr>
          <w:rFonts w:eastAsia="David" w:hint="cs"/>
          <w:sz w:val="26"/>
          <w:szCs w:val="26"/>
          <w:rtl/>
        </w:rPr>
        <w:t>--------------------------------</w:t>
      </w:r>
    </w:p>
    <w:p w14:paraId="654F29D6" w14:textId="77777777" w:rsidR="00CF2146" w:rsidRDefault="00DF3290">
      <w:pPr>
        <w:jc w:val="left"/>
      </w:pPr>
      <w:r>
        <w:rPr>
          <w:rFonts w:eastAsia="David" w:hint="cs"/>
          <w:sz w:val="26"/>
          <w:szCs w:val="26"/>
          <w:rtl/>
        </w:rPr>
        <w:t>הוגשה ליו"ר הכנסת והסגנים</w:t>
      </w:r>
    </w:p>
    <w:p w14:paraId="2904E62A" w14:textId="77777777" w:rsidR="00CF2146" w:rsidRDefault="00DF3290">
      <w:pPr>
        <w:jc w:val="left"/>
      </w:pPr>
      <w:r>
        <w:rPr>
          <w:rFonts w:eastAsia="David" w:hint="cs"/>
          <w:sz w:val="26"/>
          <w:szCs w:val="26"/>
          <w:rtl/>
        </w:rPr>
        <w:t>והונחה על שולחן הכנסת ביום</w:t>
      </w:r>
    </w:p>
    <w:p w14:paraId="3BFE908E" w14:textId="77777777" w:rsidR="00CF2146" w:rsidRDefault="00DF3290">
      <w:pPr>
        <w:jc w:val="left"/>
      </w:pPr>
      <w:r>
        <w:rPr>
          <w:rFonts w:eastAsia="David" w:hint="cs"/>
          <w:sz w:val="26"/>
          <w:szCs w:val="26"/>
          <w:rtl/>
        </w:rPr>
        <w:t xml:space="preserve">ז' בסיוון התשפ"א (18.05.2021) </w:t>
      </w:r>
    </w:p>
    <w:p w14:paraId="38E8C3E1" w14:textId="77777777" w:rsidR="00CF2146" w:rsidRDefault="00CF2146">
      <w:pPr>
        <w:spacing w:line="276" w:lineRule="auto"/>
        <w:jc w:val="left"/>
      </w:pPr>
    </w:p>
    <w:sectPr w:rsidR="00CF2146" w:rsidSect="00603BF6">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DF3290">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sidP="00EE5F82">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1DE90506" w14:textId="77777777" w:rsidR="00C1757E" w:rsidRDefault="00C1757E" w:rsidP="00C1757E">
      <w:pPr>
        <w:pStyle w:val="a4"/>
        <w:rPr>
          <w:rtl/>
        </w:rPr>
      </w:pPr>
      <w:r>
        <w:rPr>
          <w:rStyle w:val="a6"/>
        </w:rPr>
        <w:footnoteRef/>
      </w:r>
      <w:r>
        <w:rPr>
          <w:rtl/>
        </w:rPr>
        <w:t xml:space="preserve"> </w:t>
      </w:r>
      <w:r>
        <w:rPr>
          <w:rFonts w:hint="cs"/>
          <w:rtl/>
        </w:rPr>
        <w:t>ס"ח התשכ"ז, עמ' 116.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1AEF"/>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177BC"/>
    <w:rsid w:val="00553C9D"/>
    <w:rsid w:val="00562A66"/>
    <w:rsid w:val="005B064E"/>
    <w:rsid w:val="005D51AE"/>
    <w:rsid w:val="00603BF6"/>
    <w:rsid w:val="0062674B"/>
    <w:rsid w:val="006363B2"/>
    <w:rsid w:val="00644940"/>
    <w:rsid w:val="006818A9"/>
    <w:rsid w:val="006A2D8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77C37"/>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1757E"/>
    <w:rsid w:val="00C23B1A"/>
    <w:rsid w:val="00C310EB"/>
    <w:rsid w:val="00C9176A"/>
    <w:rsid w:val="00CF1AA2"/>
    <w:rsid w:val="00CF2146"/>
    <w:rsid w:val="00D142D3"/>
    <w:rsid w:val="00D17774"/>
    <w:rsid w:val="00D63620"/>
    <w:rsid w:val="00D8410D"/>
    <w:rsid w:val="00D867D7"/>
    <w:rsid w:val="00DB7060"/>
    <w:rsid w:val="00DE3153"/>
    <w:rsid w:val="00DF3290"/>
    <w:rsid w:val="00E06736"/>
    <w:rsid w:val="00E13C27"/>
    <w:rsid w:val="00E33BBD"/>
    <w:rsid w:val="00E374F2"/>
    <w:rsid w:val="00E45103"/>
    <w:rsid w:val="00E55A60"/>
    <w:rsid w:val="00E62778"/>
    <w:rsid w:val="00E635A2"/>
    <w:rsid w:val="00E63D38"/>
    <w:rsid w:val="00E665B9"/>
    <w:rsid w:val="00E705C5"/>
    <w:rsid w:val="00EA01E6"/>
    <w:rsid w:val="00EA3DE8"/>
    <w:rsid w:val="00EA758F"/>
    <w:rsid w:val="00ED4A6F"/>
    <w:rsid w:val="00EE5F82"/>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0A23D883-88E2-4AEE-8166-E1C6069C9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3BF6"/>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603BF6"/>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603BF6"/>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603BF6"/>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603BF6"/>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603BF6"/>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603BF6"/>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603BF6"/>
    <w:rPr>
      <w:sz w:val="36"/>
      <w:szCs w:val="52"/>
    </w:rPr>
  </w:style>
  <w:style w:type="paragraph" w:customStyle="1" w:styleId="Cover3-Haknesset">
    <w:name w:val="Cover 3-Haknesset"/>
    <w:basedOn w:val="Cover1-Reshumot"/>
    <w:rsid w:val="00603BF6"/>
    <w:rPr>
      <w:b/>
      <w:bCs/>
      <w:spacing w:val="60"/>
    </w:rPr>
  </w:style>
  <w:style w:type="paragraph" w:customStyle="1" w:styleId="Cover4-Date">
    <w:name w:val="Cover 4-Date"/>
    <w:basedOn w:val="a"/>
    <w:rsid w:val="00603BF6"/>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603BF6"/>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603BF6"/>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603BF6"/>
    <w:pPr>
      <w:spacing w:before="120" w:after="120"/>
    </w:pPr>
    <w:rPr>
      <w:color w:val="FF0000"/>
      <w:w w:val="80"/>
    </w:rPr>
  </w:style>
  <w:style w:type="paragraph" w:styleId="a3">
    <w:name w:val="endnote text"/>
    <w:basedOn w:val="a"/>
    <w:semiHidden/>
    <w:rsid w:val="00603BF6"/>
    <w:pPr>
      <w:ind w:left="227" w:hanging="227"/>
    </w:pPr>
    <w:rPr>
      <w:sz w:val="14"/>
      <w:szCs w:val="22"/>
    </w:rPr>
  </w:style>
  <w:style w:type="paragraph" w:customStyle="1" w:styleId="TableText">
    <w:name w:val="Table Text"/>
    <w:basedOn w:val="a"/>
    <w:rsid w:val="00603BF6"/>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603BF6"/>
    <w:pPr>
      <w:outlineLvl w:val="2"/>
    </w:pPr>
  </w:style>
  <w:style w:type="paragraph" w:customStyle="1" w:styleId="TableBlock">
    <w:name w:val="Table Block"/>
    <w:basedOn w:val="TableText"/>
    <w:rsid w:val="00603BF6"/>
    <w:pPr>
      <w:jc w:val="both"/>
    </w:pPr>
  </w:style>
  <w:style w:type="paragraph" w:customStyle="1" w:styleId="TableHead">
    <w:name w:val="Table Head"/>
    <w:basedOn w:val="TableText"/>
    <w:rsid w:val="00603BF6"/>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603BF6"/>
    <w:pPr>
      <w:outlineLvl w:val="9"/>
    </w:pPr>
  </w:style>
  <w:style w:type="paragraph" w:customStyle="1" w:styleId="Hesber">
    <w:name w:val="Hesber"/>
    <w:basedOn w:val="a"/>
    <w:rsid w:val="00603BF6"/>
    <w:pPr>
      <w:snapToGrid w:val="0"/>
      <w:ind w:left="0" w:firstLine="340"/>
    </w:pPr>
    <w:rPr>
      <w:rFonts w:ascii="Arial" w:eastAsia="Arial Unicode MS" w:hAnsi="Arial"/>
      <w:snapToGrid w:val="0"/>
      <w:sz w:val="20"/>
      <w:szCs w:val="26"/>
    </w:rPr>
  </w:style>
  <w:style w:type="paragraph" w:styleId="a4">
    <w:name w:val="footnote text"/>
    <w:basedOn w:val="a"/>
    <w:link w:val="a5"/>
    <w:autoRedefine/>
    <w:semiHidden/>
    <w:rsid w:val="00603BF6"/>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603BF6"/>
    <w:rPr>
      <w:vertAlign w:val="superscript"/>
    </w:rPr>
  </w:style>
  <w:style w:type="paragraph" w:customStyle="1" w:styleId="HesberHeading">
    <w:name w:val="Hesber Heading"/>
    <w:basedOn w:val="Hesber"/>
    <w:rsid w:val="00603BF6"/>
    <w:pPr>
      <w:tabs>
        <w:tab w:val="left" w:pos="624"/>
        <w:tab w:val="left" w:pos="1247"/>
      </w:tabs>
    </w:pPr>
    <w:rPr>
      <w:b/>
      <w:bCs/>
    </w:rPr>
  </w:style>
  <w:style w:type="paragraph" w:customStyle="1" w:styleId="HesberWriters">
    <w:name w:val="Hesber Writers"/>
    <w:basedOn w:val="Hesber"/>
    <w:rsid w:val="00603BF6"/>
    <w:pPr>
      <w:spacing w:before="120" w:after="120"/>
      <w:ind w:left="1418"/>
      <w:jc w:val="right"/>
    </w:pPr>
    <w:rPr>
      <w:b/>
      <w:bCs/>
    </w:rPr>
  </w:style>
  <w:style w:type="paragraph" w:customStyle="1" w:styleId="Hesber1st">
    <w:name w:val="Hesber 1st"/>
    <w:basedOn w:val="Hesber"/>
    <w:rsid w:val="00603BF6"/>
    <w:pPr>
      <w:tabs>
        <w:tab w:val="left" w:pos="680"/>
        <w:tab w:val="left" w:pos="1020"/>
      </w:tabs>
      <w:ind w:firstLine="0"/>
    </w:pPr>
  </w:style>
  <w:style w:type="character" w:styleId="a7">
    <w:name w:val="endnote reference"/>
    <w:basedOn w:val="a0"/>
    <w:semiHidden/>
    <w:rsid w:val="00603BF6"/>
    <w:rPr>
      <w:vertAlign w:val="superscript"/>
    </w:rPr>
  </w:style>
  <w:style w:type="paragraph" w:customStyle="1" w:styleId="TableBlockOutdent">
    <w:name w:val="Table BlockOutdent"/>
    <w:basedOn w:val="TableBlock"/>
    <w:rsid w:val="00603BF6"/>
    <w:pPr>
      <w:ind w:left="624" w:hanging="624"/>
    </w:pPr>
  </w:style>
  <w:style w:type="paragraph" w:styleId="a8">
    <w:name w:val="header"/>
    <w:basedOn w:val="a"/>
    <w:rsid w:val="00603BF6"/>
    <w:pPr>
      <w:tabs>
        <w:tab w:val="center" w:pos="4153"/>
        <w:tab w:val="right" w:pos="8306"/>
      </w:tabs>
    </w:pPr>
  </w:style>
  <w:style w:type="paragraph" w:styleId="a9">
    <w:name w:val="footer"/>
    <w:basedOn w:val="a"/>
    <w:rsid w:val="00603BF6"/>
    <w:pPr>
      <w:tabs>
        <w:tab w:val="center" w:pos="4153"/>
        <w:tab w:val="right" w:pos="8306"/>
      </w:tabs>
    </w:pPr>
  </w:style>
  <w:style w:type="paragraph" w:customStyle="1" w:styleId="HeadDivreiHesber">
    <w:name w:val="Head DivreiHesber"/>
    <w:basedOn w:val="a"/>
    <w:rsid w:val="00603BF6"/>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603BF6"/>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603BF6"/>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A77C37"/>
    <w:rPr>
      <w:rFonts w:ascii="Arial" w:eastAsia="Arial Unicode MS" w:hAnsi="Arial" w:cs="David"/>
      <w:snapToGrid w:val="0"/>
      <w:sz w:val="14"/>
    </w:rPr>
  </w:style>
  <w:style w:type="character" w:customStyle="1" w:styleId="10">
    <w:name w:val="כותרת 1 תו"/>
    <w:basedOn w:val="a0"/>
    <w:link w:val="1"/>
    <w:uiPriority w:val="9"/>
    <w:rsid w:val="00603BF6"/>
    <w:rPr>
      <w:rFonts w:asciiTheme="majorHAnsi" w:eastAsiaTheme="majorEastAsia" w:hAnsiTheme="majorHAnsi" w:cs="David"/>
      <w:bCs/>
      <w:sz w:val="32"/>
      <w:szCs w:val="36"/>
    </w:rPr>
  </w:style>
  <w:style w:type="character" w:customStyle="1" w:styleId="20">
    <w:name w:val="כותרת 2 תו"/>
    <w:basedOn w:val="a0"/>
    <w:link w:val="2"/>
    <w:rsid w:val="00603BF6"/>
    <w:rPr>
      <w:rFonts w:asciiTheme="majorHAnsi" w:eastAsiaTheme="majorEastAsia" w:hAnsiTheme="majorHAnsi" w:cs="David"/>
      <w:bCs/>
      <w:sz w:val="26"/>
      <w:szCs w:val="36"/>
      <w:u w:val="single"/>
    </w:rPr>
  </w:style>
  <w:style w:type="character" w:customStyle="1" w:styleId="30">
    <w:name w:val="כותרת 3 תו"/>
    <w:basedOn w:val="a0"/>
    <w:link w:val="3"/>
    <w:rsid w:val="00603BF6"/>
    <w:rPr>
      <w:rFonts w:asciiTheme="majorHAnsi" w:eastAsiaTheme="majorEastAsia" w:hAnsiTheme="majorHAnsi" w:cs="David"/>
      <w:sz w:val="24"/>
      <w:szCs w:val="28"/>
      <w:u w:val="double"/>
    </w:rPr>
  </w:style>
  <w:style w:type="character" w:customStyle="1" w:styleId="40">
    <w:name w:val="כותרת 4 תו"/>
    <w:basedOn w:val="a0"/>
    <w:link w:val="4"/>
    <w:uiPriority w:val="9"/>
    <w:rsid w:val="00603BF6"/>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603BF6"/>
    <w:rPr>
      <w:rFonts w:ascii="David" w:eastAsiaTheme="minorHAnsi" w:hAnsi="David" w:cs="David"/>
      <w:color w:val="000000" w:themeColor="text1"/>
      <w:sz w:val="24"/>
      <w:szCs w:val="24"/>
    </w:rPr>
  </w:style>
  <w:style w:type="paragraph" w:styleId="ae">
    <w:name w:val="TOC Heading"/>
    <w:basedOn w:val="1"/>
    <w:next w:val="a"/>
    <w:uiPriority w:val="39"/>
    <w:unhideWhenUsed/>
    <w:qFormat/>
    <w:rsid w:val="00603BF6"/>
    <w:pPr>
      <w:widowControl/>
      <w:spacing w:before="120" w:after="120"/>
      <w:outlineLvl w:val="9"/>
    </w:pPr>
    <w:rPr>
      <w:rtl/>
      <w:cs/>
    </w:rPr>
  </w:style>
  <w:style w:type="paragraph" w:styleId="TOC1">
    <w:name w:val="toc 1"/>
    <w:basedOn w:val="a"/>
    <w:next w:val="a"/>
    <w:autoRedefine/>
    <w:uiPriority w:val="39"/>
    <w:unhideWhenUsed/>
    <w:rsid w:val="00603BF6"/>
    <w:pPr>
      <w:tabs>
        <w:tab w:val="right" w:leader="dot" w:pos="9629"/>
      </w:tabs>
      <w:spacing w:after="100"/>
    </w:pPr>
    <w:rPr>
      <w:bCs/>
      <w:szCs w:val="22"/>
    </w:rPr>
  </w:style>
  <w:style w:type="paragraph" w:styleId="TOC2">
    <w:name w:val="toc 2"/>
    <w:basedOn w:val="a"/>
    <w:next w:val="a"/>
    <w:uiPriority w:val="39"/>
    <w:unhideWhenUsed/>
    <w:rsid w:val="00603BF6"/>
    <w:pPr>
      <w:tabs>
        <w:tab w:val="right" w:leader="dot" w:pos="9628"/>
      </w:tabs>
      <w:spacing w:after="100"/>
    </w:pPr>
    <w:rPr>
      <w:szCs w:val="22"/>
    </w:rPr>
  </w:style>
  <w:style w:type="character" w:styleId="Hyperlink">
    <w:name w:val="Hyperlink"/>
    <w:basedOn w:val="a0"/>
    <w:uiPriority w:val="99"/>
    <w:unhideWhenUsed/>
    <w:rsid w:val="00603BF6"/>
    <w:rPr>
      <w:color w:val="0000FF" w:themeColor="hyperlink"/>
      <w:u w:val="single"/>
    </w:rPr>
  </w:style>
  <w:style w:type="paragraph" w:styleId="TOC3">
    <w:name w:val="toc 3"/>
    <w:basedOn w:val="a"/>
    <w:next w:val="a"/>
    <w:uiPriority w:val="39"/>
    <w:unhideWhenUsed/>
    <w:rsid w:val="00603BF6"/>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603BF6"/>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603BF6"/>
    <w:pPr>
      <w:tabs>
        <w:tab w:val="right" w:leader="dot" w:pos="9628"/>
      </w:tabs>
      <w:spacing w:after="100"/>
      <w:ind w:left="567"/>
    </w:pPr>
    <w:rPr>
      <w:szCs w:val="22"/>
    </w:rPr>
  </w:style>
  <w:style w:type="paragraph" w:styleId="TOC6">
    <w:name w:val="toc 6"/>
    <w:basedOn w:val="a"/>
    <w:next w:val="a"/>
    <w:autoRedefine/>
    <w:semiHidden/>
    <w:unhideWhenUsed/>
    <w:rsid w:val="00603BF6"/>
    <w:pPr>
      <w:spacing w:after="100"/>
      <w:ind w:left="850"/>
    </w:pPr>
  </w:style>
  <w:style w:type="paragraph" w:styleId="TOC7">
    <w:name w:val="toc 7"/>
    <w:basedOn w:val="a"/>
    <w:next w:val="a"/>
    <w:autoRedefine/>
    <w:semiHidden/>
    <w:unhideWhenUsed/>
    <w:rsid w:val="00603BF6"/>
    <w:pPr>
      <w:spacing w:after="100"/>
      <w:ind w:left="1020"/>
    </w:pPr>
  </w:style>
  <w:style w:type="paragraph" w:styleId="TOC8">
    <w:name w:val="toc 8"/>
    <w:basedOn w:val="a"/>
    <w:next w:val="a"/>
    <w:autoRedefine/>
    <w:semiHidden/>
    <w:unhideWhenUsed/>
    <w:rsid w:val="00603BF6"/>
    <w:pPr>
      <w:spacing w:after="100"/>
      <w:ind w:left="1190"/>
    </w:pPr>
  </w:style>
  <w:style w:type="paragraph" w:styleId="TOC9">
    <w:name w:val="toc 9"/>
    <w:basedOn w:val="a"/>
    <w:next w:val="a"/>
    <w:autoRedefine/>
    <w:semiHidden/>
    <w:unhideWhenUsed/>
    <w:rsid w:val="00603BF6"/>
    <w:pPr>
      <w:spacing w:after="100"/>
      <w:ind w:left="1360"/>
    </w:pPr>
  </w:style>
  <w:style w:type="paragraph" w:customStyle="1" w:styleId="TableHead2">
    <w:name w:val="Table Head2"/>
    <w:basedOn w:val="TableHead"/>
    <w:qFormat/>
    <w:rsid w:val="00603BF6"/>
    <w:pPr>
      <w:outlineLvl w:val="9"/>
    </w:pPr>
  </w:style>
  <w:style w:type="paragraph" w:customStyle="1" w:styleId="TableSideHeading2">
    <w:name w:val="Table SideHeading2"/>
    <w:basedOn w:val="TableSideHeading"/>
    <w:autoRedefine/>
    <w:qFormat/>
    <w:rsid w:val="00603BF6"/>
    <w:pPr>
      <w:keepLines w:val="0"/>
      <w:outlineLvl w:val="9"/>
    </w:pPr>
  </w:style>
  <w:style w:type="paragraph" w:customStyle="1" w:styleId="0">
    <w:name w:val="סגנון שורה ראשונה:  0  ס''מ"/>
    <w:basedOn w:val="2"/>
    <w:rsid w:val="00603BF6"/>
    <w:rPr>
      <w:rFonts w:eastAsia="Times New Roman"/>
    </w:rPr>
  </w:style>
  <w:style w:type="paragraph" w:styleId="af">
    <w:name w:val="List Paragraph"/>
    <w:basedOn w:val="a"/>
    <w:uiPriority w:val="34"/>
    <w:qFormat/>
    <w:rsid w:val="00603BF6"/>
    <w:pPr>
      <w:widowControl/>
      <w:spacing w:line="259" w:lineRule="auto"/>
    </w:pPr>
    <w:rPr>
      <w:rFonts w:asciiTheme="minorHAnsi" w:hAnsiTheme="minorHAnsi"/>
      <w:sz w:val="22"/>
    </w:rPr>
  </w:style>
  <w:style w:type="table" w:styleId="af0">
    <w:name w:val="Table Grid"/>
    <w:basedOn w:val="a1"/>
    <w:rsid w:val="0060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603BF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603BF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603BF6"/>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603BF6"/>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161160">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1CD2B-B802-4EA0-BC18-C24A38E12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4.xml><?xml version="1.0" encoding="utf-8"?>
<ds:datastoreItem xmlns:ds="http://schemas.openxmlformats.org/officeDocument/2006/customXml" ds:itemID="{41BDB47E-45ED-4C8C-8D89-2756EF070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465</Words>
  <Characters>2656</Characters>
  <Application>Microsoft Office Word</Application>
  <DocSecurity>0</DocSecurity>
  <Lines>22</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10</cp:revision>
  <cp:lastPrinted>2021-05-11T08:10:00Z</cp:lastPrinted>
  <dcterms:created xsi:type="dcterms:W3CDTF">2015-04-20T09:58:00Z</dcterms:created>
  <dcterms:modified xsi:type="dcterms:W3CDTF">2021-05-11T08:11:00Z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2156241</vt:r8>
  </property>
</Properties>
</file>