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2156053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3E3ECC68" w:rsidR="00E13C27" w:rsidRPr="00DD52E1" w:rsidRDefault="008F6665" w:rsidP="00DD52E1">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אבוטבול</w:t>
      </w:r>
      <w:r>
        <w:br/>
      </w:r>
      <w:r>
        <w:rPr>
          <w:rFonts w:hint="cs"/>
          <w:b/>
          <w:bCs/>
          <w:rtl/>
        </w:rPr>
        <w:t xml:space="preserve"> </w:t>
      </w:r>
      <w:r>
        <w:tab/>
      </w:r>
      <w:r>
        <w:tab/>
      </w:r>
      <w:r>
        <w:tab/>
      </w:r>
      <w:r>
        <w:tab/>
      </w:r>
      <w:r>
        <w:rPr>
          <w:rFonts w:hint="cs"/>
          <w:b/>
          <w:bCs/>
          <w:rtl/>
        </w:rPr>
        <w:t>שלמה קרעי</w:t>
      </w:r>
      <w:r>
        <w:br/>
      </w:r>
      <w:r>
        <w:rPr>
          <w:rFonts w:hint="cs"/>
          <w:b/>
          <w:bCs/>
          <w:rtl/>
        </w:rPr>
        <w:t xml:space="preserve"> </w:t>
      </w:r>
      <w:r>
        <w:tab/>
      </w:r>
      <w:r>
        <w:tab/>
      </w:r>
      <w:r>
        <w:tab/>
      </w:r>
      <w:r>
        <w:tab/>
      </w:r>
      <w:r>
        <w:rPr>
          <w:rFonts w:hint="cs"/>
          <w:b/>
          <w:bCs/>
          <w:rtl/>
        </w:rPr>
        <w:t>יעקב מרגי</w:t>
      </w:r>
      <w:r>
        <w:br/>
      </w:r>
      <w:r>
        <w:rPr>
          <w:rFonts w:hint="cs"/>
          <w:b/>
          <w:bCs/>
          <w:rtl/>
        </w:rPr>
        <w:t xml:space="preserve"> </w:t>
      </w:r>
      <w:r>
        <w:tab/>
      </w:r>
      <w:r>
        <w:tab/>
      </w:r>
      <w:r>
        <w:tab/>
      </w:r>
      <w:r>
        <w:tab/>
      </w:r>
      <w:r>
        <w:rPr>
          <w:rFonts w:hint="cs"/>
          <w:b/>
          <w:bCs/>
          <w:rtl/>
        </w:rPr>
        <w:t>יוסף טייב</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ישראל אייכלר</w:t>
      </w:r>
      <w:r>
        <w:br/>
      </w:r>
      <w:r>
        <w:rPr>
          <w:rFonts w:hint="cs"/>
          <w:b/>
          <w:bCs/>
          <w:rtl/>
        </w:rPr>
        <w:t xml:space="preserve"> </w:t>
      </w:r>
      <w:r>
        <w:tab/>
      </w:r>
      <w:r>
        <w:tab/>
      </w:r>
      <w:r>
        <w:tab/>
      </w:r>
      <w:r>
        <w:tab/>
      </w:r>
      <w:r>
        <w:rPr>
          <w:rFonts w:hint="cs"/>
          <w:b/>
          <w:bCs/>
          <w:rtl/>
        </w:rPr>
        <w:t>חיים ביטון</w:t>
      </w:r>
      <w:r>
        <w:br/>
      </w:r>
      <w:r>
        <w:rPr>
          <w:rFonts w:hint="cs"/>
          <w:b/>
          <w:bCs/>
          <w:rtl/>
        </w:rPr>
        <w:t xml:space="preserve"> </w:t>
      </w:r>
      <w:r>
        <w:tab/>
      </w:r>
      <w:r>
        <w:tab/>
      </w:r>
      <w:r>
        <w:tab/>
      </w:r>
      <w:r>
        <w:tab/>
      </w:r>
      <w:r>
        <w:rPr>
          <w:rFonts w:hint="cs"/>
          <w:b/>
          <w:bCs/>
          <w:rtl/>
        </w:rPr>
        <w:t>מאי גולן</w:t>
      </w:r>
      <w:r>
        <w:br/>
      </w:r>
      <w:r>
        <w:rPr>
          <w:rFonts w:hint="cs"/>
          <w:b/>
          <w:bCs/>
          <w:rtl/>
        </w:rPr>
        <w:t xml:space="preserve"> </w:t>
      </w:r>
      <w:r>
        <w:tab/>
      </w:r>
      <w:r>
        <w:tab/>
      </w:r>
      <w:r>
        <w:tab/>
      </w:r>
      <w:r>
        <w:tab/>
      </w:r>
      <w:r>
        <w:rPr>
          <w:rFonts w:hint="cs"/>
          <w:b/>
          <w:bCs/>
          <w:rtl/>
        </w:rPr>
        <w:t>קטי קטרין שטרית</w:t>
      </w:r>
      <w:r>
        <w:br/>
      </w:r>
      <w:r>
        <w:rPr>
          <w:rFonts w:hint="cs"/>
          <w:b/>
          <w:bCs/>
          <w:rtl/>
        </w:rPr>
        <w:t xml:space="preserve"> </w:t>
      </w:r>
      <w:r>
        <w:tab/>
      </w:r>
      <w:r>
        <w:tab/>
      </w:r>
      <w:r>
        <w:tab/>
      </w:r>
      <w:r>
        <w:tab/>
      </w:r>
      <w:r>
        <w:rPr>
          <w:rFonts w:hint="cs"/>
          <w:b/>
          <w:bCs/>
          <w:rtl/>
        </w:rPr>
        <w:t>אוריאל בוסו</w:t>
      </w:r>
      <w:bookmarkStart w:id="4" w:name="LGS_Join_List"/>
      <w:bookmarkEnd w:id="3"/>
      <w:bookmarkEnd w:id="4"/>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5" w:name="Private_Number"/>
      <w:r>
        <w:rPr>
          <w:rFonts w:hint="cs"/>
          <w:rtl/>
        </w:rPr>
        <w:t>פ/976/24</w:t>
      </w:r>
      <w:bookmarkEnd w:id="5"/>
    </w:p>
    <w:p w14:paraId="5C2F582B" w14:textId="77777777" w:rsidR="00DD52E1" w:rsidRDefault="00DD52E1" w:rsidP="000B3F33">
      <w:pPr>
        <w:pStyle w:val="HeadHatzaotHok"/>
        <w:spacing w:before="0" w:line="240" w:lineRule="auto"/>
        <w:rPr>
          <w:rtl/>
        </w:rPr>
      </w:pPr>
    </w:p>
    <w:p w14:paraId="59E05E95" w14:textId="77777777" w:rsidR="00DD52E1" w:rsidRDefault="00DD52E1" w:rsidP="000B3F33">
      <w:pPr>
        <w:pStyle w:val="HeadHatzaotHok"/>
        <w:spacing w:before="0" w:line="240" w:lineRule="auto"/>
        <w:rPr>
          <w:rtl/>
        </w:rPr>
      </w:pPr>
    </w:p>
    <w:p w14:paraId="6DAAC2F5" w14:textId="3C63C098" w:rsidR="000B3F33" w:rsidRDefault="000B3F33" w:rsidP="000B3F33">
      <w:pPr>
        <w:pStyle w:val="HeadHatzaotHok"/>
        <w:spacing w:before="0" w:line="240" w:lineRule="auto"/>
        <w:rPr>
          <w:rtl/>
        </w:rPr>
      </w:pPr>
      <w:bookmarkStart w:id="6" w:name="_GoBack"/>
      <w:bookmarkEnd w:id="6"/>
      <w:r>
        <w:rPr>
          <w:rFonts w:hint="cs"/>
          <w:rtl/>
        </w:rPr>
        <w:t>הצעת חוק ביטוח בריאות ממלכתי (תיקון – אשפוז בית), התשפ"א–2021</w:t>
      </w:r>
    </w:p>
    <w:p w14:paraId="4B06225F" w14:textId="77777777" w:rsidR="000B3F33" w:rsidRPr="00F67051" w:rsidRDefault="000B3F33" w:rsidP="000B3F33">
      <w:pPr>
        <w:pStyle w:val="HeadHatzaotHok"/>
        <w:spacing w:before="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4"/>
      </w:tblGrid>
      <w:tr w:rsidR="000B3F33" w14:paraId="7A348B1B" w14:textId="77777777" w:rsidTr="006305ED">
        <w:trPr>
          <w:cantSplit/>
        </w:trPr>
        <w:tc>
          <w:tcPr>
            <w:tcW w:w="1870" w:type="dxa"/>
          </w:tcPr>
          <w:p w14:paraId="4561699B" w14:textId="77777777" w:rsidR="000B3F33" w:rsidRPr="00B041A2" w:rsidRDefault="000B3F33" w:rsidP="006305ED">
            <w:pPr>
              <w:pStyle w:val="TableSideHeading"/>
            </w:pPr>
            <w:r>
              <w:rPr>
                <w:rFonts w:hint="cs"/>
                <w:rtl/>
              </w:rPr>
              <w:t>תיקון התוספת השנייה</w:t>
            </w:r>
          </w:p>
        </w:tc>
        <w:tc>
          <w:tcPr>
            <w:tcW w:w="624" w:type="dxa"/>
          </w:tcPr>
          <w:p w14:paraId="451D4A02" w14:textId="77777777" w:rsidR="000B3F33" w:rsidRDefault="000B3F33" w:rsidP="006305ED">
            <w:pPr>
              <w:pStyle w:val="TableText"/>
              <w:keepLines w:val="0"/>
            </w:pPr>
            <w:r>
              <w:rPr>
                <w:rFonts w:hint="cs"/>
                <w:rtl/>
              </w:rPr>
              <w:t>1.</w:t>
            </w:r>
          </w:p>
        </w:tc>
        <w:tc>
          <w:tcPr>
            <w:tcW w:w="7144" w:type="dxa"/>
          </w:tcPr>
          <w:p w14:paraId="0FACFB62" w14:textId="77777777" w:rsidR="000B3F33" w:rsidRPr="00C34DE2" w:rsidRDefault="000B3F33" w:rsidP="006305ED">
            <w:pPr>
              <w:pStyle w:val="TableBlock"/>
            </w:pPr>
            <w:r>
              <w:rPr>
                <w:rFonts w:hint="cs"/>
                <w:rtl/>
              </w:rPr>
              <w:t xml:space="preserve">בחוק ביטוח </w:t>
            </w:r>
            <w:r w:rsidRPr="00B041A2">
              <w:rPr>
                <w:rFonts w:hint="cs"/>
                <w:rtl/>
              </w:rPr>
              <w:t>בריאות</w:t>
            </w:r>
            <w:r>
              <w:rPr>
                <w:rFonts w:hint="cs"/>
                <w:rtl/>
              </w:rPr>
              <w:t xml:space="preserve"> ממלכתי, </w:t>
            </w:r>
            <w:r w:rsidRPr="00B041A2">
              <w:rPr>
                <w:rFonts w:hint="cs"/>
                <w:rtl/>
              </w:rPr>
              <w:t>התשנ"</w:t>
            </w:r>
            <w:r>
              <w:rPr>
                <w:rFonts w:hint="cs"/>
                <w:rtl/>
              </w:rPr>
              <w:t>ד–1994</w:t>
            </w:r>
            <w:r>
              <w:rPr>
                <w:rStyle w:val="a6"/>
                <w:rtl/>
              </w:rPr>
              <w:footnoteReference w:id="2"/>
            </w:r>
            <w:r>
              <w:rPr>
                <w:rFonts w:hint="cs"/>
                <w:rtl/>
              </w:rPr>
              <w:t>, בתוספת השנייה, אחרי פרט 2 יבוא:</w:t>
            </w:r>
          </w:p>
        </w:tc>
      </w:tr>
      <w:tr w:rsidR="000B3F33" w14:paraId="3E5DC99A" w14:textId="77777777" w:rsidTr="006305ED">
        <w:trPr>
          <w:cantSplit/>
          <w:trHeight w:val="60"/>
        </w:trPr>
        <w:tc>
          <w:tcPr>
            <w:tcW w:w="1870" w:type="dxa"/>
          </w:tcPr>
          <w:p w14:paraId="4CC986F7" w14:textId="77777777" w:rsidR="000B3F33" w:rsidRDefault="000B3F33" w:rsidP="006305ED">
            <w:pPr>
              <w:pStyle w:val="TableSideHeading"/>
            </w:pPr>
          </w:p>
        </w:tc>
        <w:tc>
          <w:tcPr>
            <w:tcW w:w="624" w:type="dxa"/>
          </w:tcPr>
          <w:p w14:paraId="6A4B8AD1" w14:textId="77777777" w:rsidR="000B3F33" w:rsidRDefault="000B3F33" w:rsidP="006305ED">
            <w:pPr>
              <w:pStyle w:val="TableText"/>
            </w:pPr>
          </w:p>
        </w:tc>
        <w:tc>
          <w:tcPr>
            <w:tcW w:w="7144" w:type="dxa"/>
          </w:tcPr>
          <w:p w14:paraId="6F197300" w14:textId="77777777" w:rsidR="000B3F33" w:rsidRDefault="000B3F33" w:rsidP="006305ED">
            <w:pPr>
              <w:pStyle w:val="TableBlock"/>
            </w:pPr>
            <w:r>
              <w:rPr>
                <w:rFonts w:hint="cs"/>
                <w:rtl/>
              </w:rPr>
              <w:t>"2א.</w:t>
            </w:r>
            <w:r>
              <w:rPr>
                <w:rtl/>
              </w:rPr>
              <w:tab/>
            </w:r>
            <w:r>
              <w:rPr>
                <w:rFonts w:hint="cs"/>
                <w:rtl/>
              </w:rPr>
              <w:t>אשפוז ביתי ‏– לאבחון וטיפול."</w:t>
            </w:r>
            <w:r>
              <w:rPr>
                <w:rtl/>
              </w:rPr>
              <w:tab/>
            </w:r>
          </w:p>
        </w:tc>
      </w:tr>
    </w:tbl>
    <w:p w14:paraId="2F0BE380" w14:textId="77777777" w:rsidR="000B3F33" w:rsidRDefault="000B3F33" w:rsidP="000B3F33">
      <w:pPr>
        <w:pStyle w:val="HeadDivreiHesber"/>
      </w:pPr>
      <w:r w:rsidRPr="0027450A">
        <w:rPr>
          <w:rFonts w:hint="cs"/>
          <w:rtl/>
        </w:rPr>
        <w:t xml:space="preserve">דברי </w:t>
      </w:r>
      <w:r w:rsidRPr="002B04AF">
        <w:rPr>
          <w:rFonts w:hint="cs"/>
          <w:rtl/>
        </w:rPr>
        <w:t>הסבר</w:t>
      </w:r>
    </w:p>
    <w:p w14:paraId="76237512" w14:textId="77777777" w:rsidR="000B3F33" w:rsidRPr="00A30688" w:rsidRDefault="000B3F33" w:rsidP="000B3F33">
      <w:pPr>
        <w:pStyle w:val="Hesber1st"/>
        <w:tabs>
          <w:tab w:val="clear" w:pos="680"/>
        </w:tabs>
        <w:rPr>
          <w:rtl/>
        </w:rPr>
      </w:pPr>
      <w:r w:rsidRPr="00A30688">
        <w:rPr>
          <w:rFonts w:hint="cs"/>
          <w:rtl/>
        </w:rPr>
        <w:t xml:space="preserve">מוצע לעגן בחקיקה את נושא האשפוז הביתי. </w:t>
      </w:r>
    </w:p>
    <w:p w14:paraId="494F2FFF" w14:textId="77777777" w:rsidR="000B3F33" w:rsidRPr="00A30688" w:rsidRDefault="000B3F33" w:rsidP="000B3F33">
      <w:pPr>
        <w:pStyle w:val="Hesber"/>
        <w:rPr>
          <w:rtl/>
        </w:rPr>
      </w:pPr>
      <w:r w:rsidRPr="00A30688">
        <w:rPr>
          <w:rFonts w:hint="cs"/>
          <w:rtl/>
        </w:rPr>
        <w:t xml:space="preserve"> חוק ביטוח בריאות ממלכתי, התשנ"ד–1994 קובע כי אשפוז בבית חולים ממומן על ידי קופות החולים כחלק מסל הבריאות. אשפוז בבית חולים הינו החלופה העיקרית כיום למקרים המצדיקים השגחה רפואית על בסיס יומי. עם זאת, לאשפוז בבית חולים חסרונות בריאותיים, נפשיים וכלכליים. </w:t>
      </w:r>
    </w:p>
    <w:p w14:paraId="7DF1183C" w14:textId="77777777" w:rsidR="000B3F33" w:rsidRPr="00A30688" w:rsidRDefault="000B3F33" w:rsidP="000B3F33">
      <w:pPr>
        <w:pStyle w:val="Hesber"/>
        <w:rPr>
          <w:rtl/>
        </w:rPr>
      </w:pPr>
      <w:r w:rsidRPr="00A30688">
        <w:rPr>
          <w:rFonts w:hint="cs"/>
          <w:rtl/>
        </w:rPr>
        <w:t xml:space="preserve">ראשית, השהות בבית חולים עלולה להיות מסוכנת לחולה, מכיוון שבבית חולים מצויים חיידקים עמידים לאנטיביוטיקה. בין 5% ל10% מכלל המתאשפזים נדבקים בזיהום בבתי חולים, ובכל שנה מתים 4,000-6,000 חולים מזיהומים נרכשים בבתי חולים (מסקנות ועדת העבודה הרווחה והבריאות, 6 ביוני 2018). </w:t>
      </w:r>
    </w:p>
    <w:p w14:paraId="253BA465" w14:textId="77777777" w:rsidR="000B3F33" w:rsidRPr="00A30688" w:rsidRDefault="000B3F33" w:rsidP="000B3F33">
      <w:pPr>
        <w:pStyle w:val="Hesber"/>
        <w:rPr>
          <w:rtl/>
        </w:rPr>
      </w:pPr>
      <w:r w:rsidRPr="00A30688">
        <w:rPr>
          <w:rFonts w:hint="cs"/>
          <w:rtl/>
        </w:rPr>
        <w:t xml:space="preserve">נזק נוסף הנגרם משהות בבית חולים הינו נזק נפשי. חולים בבית חולים מנותקים מהסביבה המוכרת להם, פרטיותם מופרת והם חשופים לרעש ולסיטואציות קשות. לעיתים חולים כאלה לוקים בבלבול זמני עקב האשפוז, אף אם מצבם הקוגנטיבי היה תקין. מציאות זו אינה מסייעת להחלמה תקינה </w:t>
      </w:r>
      <w:r w:rsidRPr="00A30688">
        <w:rPr>
          <w:rFonts w:hint="cs"/>
          <w:rtl/>
        </w:rPr>
        <w:lastRenderedPageBreak/>
        <w:t>ומהירה.</w:t>
      </w:r>
    </w:p>
    <w:p w14:paraId="7C1E6E0F" w14:textId="77777777" w:rsidR="000B3F33" w:rsidRPr="00A30688" w:rsidRDefault="000B3F33" w:rsidP="000B3F33">
      <w:pPr>
        <w:pStyle w:val="Hesber"/>
        <w:rPr>
          <w:rtl/>
        </w:rPr>
      </w:pPr>
      <w:r>
        <w:rPr>
          <w:rFonts w:hint="cs"/>
          <w:rtl/>
        </w:rPr>
        <w:t xml:space="preserve">הסדר אשפוז בית </w:t>
      </w:r>
      <w:r w:rsidRPr="00A30688">
        <w:rPr>
          <w:rFonts w:hint="cs"/>
          <w:rtl/>
        </w:rPr>
        <w:t xml:space="preserve">קיים </w:t>
      </w:r>
      <w:r>
        <w:rPr>
          <w:rFonts w:hint="cs"/>
          <w:rtl/>
        </w:rPr>
        <w:t xml:space="preserve">כיום </w:t>
      </w:r>
      <w:r w:rsidRPr="00A30688">
        <w:rPr>
          <w:rFonts w:hint="cs"/>
          <w:rtl/>
        </w:rPr>
        <w:t>בארצות הברית ו</w:t>
      </w:r>
      <w:r>
        <w:rPr>
          <w:rFonts w:hint="cs"/>
          <w:rtl/>
        </w:rPr>
        <w:t>ב</w:t>
      </w:r>
      <w:r w:rsidRPr="00A30688">
        <w:rPr>
          <w:rFonts w:hint="cs"/>
          <w:rtl/>
        </w:rPr>
        <w:t>מדינות</w:t>
      </w:r>
      <w:r>
        <w:rPr>
          <w:rFonts w:hint="cs"/>
          <w:rtl/>
        </w:rPr>
        <w:t xml:space="preserve"> נוספות, ורמת הטיפול והמעקב בחולה אינה</w:t>
      </w:r>
      <w:r w:rsidRPr="00A30688">
        <w:rPr>
          <w:rFonts w:hint="cs"/>
          <w:rtl/>
        </w:rPr>
        <w:t xml:space="preserve"> פחות</w:t>
      </w:r>
      <w:r>
        <w:rPr>
          <w:rFonts w:hint="cs"/>
          <w:rtl/>
        </w:rPr>
        <w:t>ה</w:t>
      </w:r>
      <w:r w:rsidRPr="00A30688">
        <w:rPr>
          <w:rFonts w:hint="cs"/>
          <w:rtl/>
        </w:rPr>
        <w:t xml:space="preserve"> בעקבות כך.</w:t>
      </w:r>
    </w:p>
    <w:p w14:paraId="36713E92" w14:textId="6E9A38DC" w:rsidR="000B3F33" w:rsidRDefault="000B3F33" w:rsidP="000B3F33">
      <w:pPr>
        <w:pStyle w:val="Hesber"/>
        <w:rPr>
          <w:rtl/>
        </w:rPr>
      </w:pPr>
      <w:r w:rsidRPr="00A30688">
        <w:rPr>
          <w:rFonts w:hint="cs"/>
          <w:rtl/>
        </w:rPr>
        <w:t>מוצע להכניס לסל הבריאות אפשרות של אשפוז ביתי, שלפיה יקבל החולה את הטיפול הרפואי הנחוץ לו ואת הבדיקות האבחנתיות בבית. מנגנון זה עשוי לחסוך את הנזקים הבריאותיים והנפשיים הקיימים באשפוז בבית חולים, וכן להקטין את העומס על חדרי המיון בבתי החולים, ואת עלות האשפוז לחולה.</w:t>
      </w:r>
      <w:r w:rsidRPr="00A30688">
        <w:rPr>
          <w:rtl/>
        </w:rPr>
        <w:t xml:space="preserve"> </w:t>
      </w:r>
    </w:p>
    <w:p w14:paraId="400FC826" w14:textId="7F3F5916" w:rsidR="005A7B57" w:rsidRDefault="005A7B57" w:rsidP="000B3F33">
      <w:pPr>
        <w:pStyle w:val="Hesber"/>
        <w:rPr>
          <w:rtl/>
        </w:rPr>
      </w:pPr>
      <w:r>
        <w:rPr>
          <w:rFonts w:hint="cs"/>
          <w:rtl/>
        </w:rPr>
        <w:t>הצעת חוק זהה הונחה על שולחן הכנסת העשרים ושלוש על ידי חברי הכנסת משה אבוטבול ומאיר כהן (פ/2464/23).</w:t>
      </w:r>
    </w:p>
    <w:p w14:paraId="10F16D3B" w14:textId="5101877C" w:rsidR="005A7B57" w:rsidRDefault="00DD52E1" w:rsidP="000B3F33">
      <w:pPr>
        <w:pStyle w:val="Hesber"/>
      </w:pPr>
      <w:r>
        <w:rPr>
          <w:rFonts w:hint="cs"/>
          <w:rtl/>
        </w:rPr>
        <w:t>הצעת החוק זהה לפ/2464/23 ולפיכך</w:t>
      </w:r>
      <w:r w:rsidR="005A7B57">
        <w:rPr>
          <w:rFonts w:hint="cs"/>
          <w:rtl/>
        </w:rPr>
        <w:t xml:space="preserve"> לא נבדקה מחדש על ידי הלשכה המשפטית של הכנסת. </w:t>
      </w:r>
    </w:p>
    <w:p w14:paraId="149A8C2E" w14:textId="40790F8F" w:rsidR="00E2710C" w:rsidRDefault="00E2710C" w:rsidP="00E2710C">
      <w:pPr>
        <w:pStyle w:val="Hesber"/>
        <w:ind w:firstLine="0"/>
        <w:rPr>
          <w:rtl/>
        </w:rPr>
      </w:pPr>
    </w:p>
    <w:p w14:paraId="76CAF46D" w14:textId="77777777" w:rsidR="00E2710C" w:rsidRPr="00A30688" w:rsidRDefault="00E2710C" w:rsidP="000B3F33">
      <w:pPr>
        <w:pStyle w:val="Hesber"/>
        <w:rPr>
          <w:rtl/>
        </w:rPr>
      </w:pPr>
    </w:p>
    <w:p w14:paraId="661A1EF0" w14:textId="77777777" w:rsidR="005E6D09" w:rsidRDefault="008244C7">
      <w:pPr>
        <w:spacing w:before="0" w:line="360" w:lineRule="auto"/>
        <w:jc w:val="left"/>
      </w:pPr>
      <w:bookmarkStart w:id="7" w:name="selectedDocDateB"/>
      <w:bookmarkEnd w:id="7"/>
      <w:r>
        <w:rPr>
          <w:rFonts w:ascii="David" w:eastAsia="David" w:hAnsi="David" w:cs="David" w:hint="cs"/>
          <w:sz w:val="26"/>
          <w:szCs w:val="26"/>
          <w:rtl/>
        </w:rPr>
        <w:t>--------------------------------</w:t>
      </w:r>
    </w:p>
    <w:p w14:paraId="1321D753" w14:textId="77777777" w:rsidR="005E6D09" w:rsidRDefault="008244C7">
      <w:pPr>
        <w:spacing w:before="0" w:line="360" w:lineRule="auto"/>
        <w:jc w:val="left"/>
      </w:pPr>
      <w:r>
        <w:rPr>
          <w:rFonts w:ascii="David" w:eastAsia="David" w:hAnsi="David" w:cs="David" w:hint="cs"/>
          <w:sz w:val="26"/>
          <w:szCs w:val="26"/>
          <w:rtl/>
        </w:rPr>
        <w:t>הוגשה ליו"ר הכנסת והסגנים</w:t>
      </w:r>
    </w:p>
    <w:p w14:paraId="144E417A" w14:textId="77777777" w:rsidR="005E6D09" w:rsidRDefault="008244C7">
      <w:pPr>
        <w:spacing w:before="0" w:line="360" w:lineRule="auto"/>
        <w:jc w:val="left"/>
      </w:pPr>
      <w:r>
        <w:rPr>
          <w:rFonts w:ascii="David" w:eastAsia="David" w:hAnsi="David" w:cs="David" w:hint="cs"/>
          <w:sz w:val="26"/>
          <w:szCs w:val="26"/>
          <w:rtl/>
        </w:rPr>
        <w:t>והונחה על שולחן הכנסת ביום</w:t>
      </w:r>
    </w:p>
    <w:p w14:paraId="1932B340" w14:textId="77777777" w:rsidR="005E6D09" w:rsidRDefault="008244C7">
      <w:pPr>
        <w:spacing w:before="0" w:line="360" w:lineRule="auto"/>
        <w:jc w:val="left"/>
      </w:pPr>
      <w:r>
        <w:rPr>
          <w:rFonts w:ascii="David" w:eastAsia="David" w:hAnsi="David" w:cs="David" w:hint="cs"/>
          <w:sz w:val="26"/>
          <w:szCs w:val="26"/>
          <w:rtl/>
        </w:rPr>
        <w:t xml:space="preserve">ז' בסיוון התשפ"א (18.05.2021) </w:t>
      </w:r>
    </w:p>
    <w:p w14:paraId="4ACAEE05" w14:textId="77777777" w:rsidR="005E6D09" w:rsidRDefault="005E6D09">
      <w:pPr>
        <w:spacing w:before="0" w:line="276" w:lineRule="auto"/>
        <w:jc w:val="left"/>
      </w:pPr>
    </w:p>
    <w:sectPr w:rsidR="005E6D0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2E6A60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244C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17A2A1A" w14:textId="77777777" w:rsidR="000B3F33" w:rsidRDefault="000B3F33" w:rsidP="000B3F33">
      <w:pPr>
        <w:pStyle w:val="a4"/>
      </w:pPr>
      <w:r>
        <w:rPr>
          <w:rStyle w:val="a6"/>
        </w:rPr>
        <w:footnoteRef/>
      </w:r>
      <w:r>
        <w:rPr>
          <w:rtl/>
        </w:rPr>
        <w:t xml:space="preserve"> </w:t>
      </w:r>
      <w:r>
        <w:rPr>
          <w:rFonts w:hint="cs"/>
          <w:rtl/>
        </w:rPr>
        <w:t>ס"ח התשנ"ד, עמ' 156.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3F33"/>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A7B57"/>
    <w:rsid w:val="005B064E"/>
    <w:rsid w:val="005D51AE"/>
    <w:rsid w:val="005E6D09"/>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44C7"/>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D52E1"/>
    <w:rsid w:val="00DE3153"/>
    <w:rsid w:val="00E06736"/>
    <w:rsid w:val="00E13C27"/>
    <w:rsid w:val="00E2710C"/>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FBE7F2E-3AB5-4DE1-993D-C97581AF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B3F33"/>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1ED3-D7F3-42BF-8236-E67F9254C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4948E567-A1FA-4623-9EC0-FBCBE2F1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340</Words>
  <Characters>1703</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2021-05-12T06:52:00Z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2156053</vt:r8>
  </property>
</Properties>
</file>