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35A2" w:rsidR="002C2E29" w:rsidP="00E635A2" w:rsidRDefault="004033D8" w14:paraId="7F6961A1" w14:textId="77777777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hint="cs" w:cs="David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 w:cs="David"/>
          <w:sz w:val="20"/>
          <w:szCs w:val="20"/>
          <w:rtl/>
        </w:rPr>
        <w:t>2157087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rFonts w:cs="David"/>
          <w:b/>
          <w:bCs/>
          <w:sz w:val="26"/>
          <w:szCs w:val="26"/>
          <w:rtl/>
        </w:rPr>
      </w:pPr>
    </w:p>
    <w:p w:rsidR="00E13C27" w:rsidP="00930EFE" w:rsidRDefault="008F6665" w14:paraId="7F6961A6" w14:textId="77777777">
      <w:pPr>
        <w:pStyle w:val="David"/>
        <w:spacing w:line="360" w:lineRule="auto"/>
        <w:ind w:left="3544"/>
        <w:rPr>
          <w:b/>
          <w:bCs/>
          <w:rtl/>
        </w:rPr>
      </w:pPr>
      <w:bookmarkStart w:name="LGS_Initiators_List" w:id="2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קארין אלהרר</w:t>
      </w:r>
      <w:bookmarkEnd w:id="3"/>
    </w:p>
    <w:p w:rsidRPr="00904591" w:rsidR="00904591" w:rsidP="0036422C" w:rsidRDefault="00266D86" w14:paraId="34DB4103" w14:textId="77777777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Pr="00E06736" w:rsidR="00E13C27" w:rsidP="00904591" w:rsidRDefault="00904591" w14:paraId="7F6961AB" w14:textId="256138AA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name="Private_Number" w:id="4"/>
      <w:r>
        <w:rPr>
          <w:rFonts w:hint="cs"/>
          <w:rtl/>
        </w:rPr>
        <w:t>פ/989/24</w:t>
      </w:r>
      <w:bookmarkEnd w:id="4"/>
    </w:p>
    <w:p w:rsidRPr="00F67051" w:rsidR="00E13C27" w:rsidP="001A0F30" w:rsidRDefault="00A443CF" w14:paraId="7F6961AD" w14:textId="6FEDAF7F">
      <w:pPr>
        <w:pStyle w:val="HeadHatzaotHok"/>
        <w:rPr>
          <w:rtl/>
        </w:rPr>
      </w:pPr>
      <w:bookmarkStart w:name="LGS_Subject" w:id="5"/>
      <w:r>
        <w:rPr>
          <w:rFonts w:hint="cs"/>
          <w:rtl/>
        </w:rPr>
        <w:t xml:space="preserve">הצעת חוק העונשין (תיקון </w:t>
      </w:r>
      <w:r w:rsidR="001A0F30">
        <w:rPr>
          <w:rFonts w:hint="cs"/>
          <w:rtl/>
        </w:rPr>
        <w:t>–</w:t>
      </w:r>
      <w:r>
        <w:rPr>
          <w:rFonts w:hint="cs"/>
          <w:rtl/>
        </w:rPr>
        <w:t xml:space="preserve"> ביטול האפשרות למאסר במקום קנס)</w:t>
      </w:r>
      <w:r w:rsidR="00AF6AB8">
        <w:rPr>
          <w:rFonts w:hint="cs"/>
          <w:rtl/>
        </w:rPr>
        <w:t xml:space="preserve"> </w:t>
      </w:r>
      <w:r>
        <w:rPr>
          <w:rFonts w:hint="cs"/>
          <w:rtl/>
        </w:rPr>
        <w:t>(הוראת שעה), התשפ"א</w:t>
      </w:r>
      <w:r w:rsidR="001A0F30">
        <w:rPr>
          <w:rFonts w:hint="cs"/>
          <w:rtl/>
        </w:rPr>
        <w:t>–</w:t>
      </w:r>
      <w:r>
        <w:rPr>
          <w:rFonts w:hint="cs"/>
          <w:rtl/>
        </w:rPr>
        <w:t>2021</w:t>
      </w:r>
      <w:bookmarkEnd w:id="5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Pr="00534911" w:rsidR="009D3D4D" w:rsidTr="00C74FDF" w14:paraId="49698665" w14:textId="77777777">
        <w:trPr>
          <w:cantSplit/>
        </w:trPr>
        <w:tc>
          <w:tcPr>
            <w:tcW w:w="1871" w:type="dxa"/>
          </w:tcPr>
          <w:p w:rsidRPr="00534911" w:rsidR="009D3D4D" w:rsidP="002F4DD5" w:rsidRDefault="009D3D4D" w14:paraId="248ABB1F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ביטול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71</w:t>
            </w:r>
          </w:p>
        </w:tc>
        <w:tc>
          <w:tcPr>
            <w:tcW w:w="624" w:type="dxa"/>
          </w:tcPr>
          <w:p w:rsidRPr="00534911" w:rsidR="009D3D4D" w:rsidP="002F4DD5" w:rsidRDefault="009D3D4D" w14:paraId="79395359" w14:textId="77777777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1.</w:t>
            </w:r>
          </w:p>
        </w:tc>
        <w:tc>
          <w:tcPr>
            <w:tcW w:w="7146" w:type="dxa"/>
          </w:tcPr>
          <w:p w:rsidRPr="00534911" w:rsidR="009D3D4D" w:rsidP="002F4DD5" w:rsidRDefault="009D3D4D" w14:paraId="273F7B4A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בחוק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העונשין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,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התשל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"ז–1977</w:t>
            </w:r>
            <w:r w:rsidRPr="00534911">
              <w:rPr>
                <w:rFonts w:ascii="David" w:hAnsi="David" w:eastAsia="Arial Unicode MS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2"/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(להלן – החוק העיקרי)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,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71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–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בטל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.</w:t>
            </w:r>
          </w:p>
        </w:tc>
      </w:tr>
      <w:tr w:rsidRPr="00534911" w:rsidR="009D3D4D" w:rsidTr="00C74FDF" w14:paraId="7A19A8E1" w14:textId="77777777">
        <w:trPr>
          <w:cantSplit/>
        </w:trPr>
        <w:tc>
          <w:tcPr>
            <w:tcW w:w="1871" w:type="dxa"/>
          </w:tcPr>
          <w:p w:rsidRPr="00534911" w:rsidR="009D3D4D" w:rsidDel="00C95024" w:rsidP="002F4DD5" w:rsidRDefault="009D3D4D" w14:paraId="7055B997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תיקון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66</w:t>
            </w:r>
          </w:p>
        </w:tc>
        <w:tc>
          <w:tcPr>
            <w:tcW w:w="624" w:type="dxa"/>
          </w:tcPr>
          <w:p w:rsidRPr="00534911" w:rsidR="009D3D4D" w:rsidP="002F4DD5" w:rsidRDefault="009D3D4D" w14:paraId="23BDBB16" w14:textId="77777777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2.</w:t>
            </w:r>
          </w:p>
        </w:tc>
        <w:tc>
          <w:tcPr>
            <w:tcW w:w="7146" w:type="dxa"/>
          </w:tcPr>
          <w:p w:rsidRPr="00534911" w:rsidR="009D3D4D" w:rsidP="002F4DD5" w:rsidRDefault="009D3D4D" w14:paraId="40BEFDC1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 66(ב) לחוק העיקרי – בטל.</w:t>
            </w:r>
          </w:p>
        </w:tc>
      </w:tr>
      <w:tr w:rsidRPr="00534911" w:rsidR="009D3D4D" w:rsidTr="00C74FDF" w14:paraId="329294E7" w14:textId="77777777">
        <w:trPr>
          <w:cantSplit/>
        </w:trPr>
        <w:tc>
          <w:tcPr>
            <w:tcW w:w="1871" w:type="dxa"/>
          </w:tcPr>
          <w:p w:rsidRPr="00534911" w:rsidR="009D3D4D" w:rsidP="002F4DD5" w:rsidRDefault="009D3D4D" w14:paraId="4570C2CA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תיקון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68</w:t>
            </w:r>
          </w:p>
        </w:tc>
        <w:tc>
          <w:tcPr>
            <w:tcW w:w="624" w:type="dxa"/>
          </w:tcPr>
          <w:p w:rsidRPr="00534911" w:rsidR="009D3D4D" w:rsidP="002F4DD5" w:rsidRDefault="009D3D4D" w14:paraId="11ED8D63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3.</w:t>
            </w:r>
          </w:p>
        </w:tc>
        <w:tc>
          <w:tcPr>
            <w:tcW w:w="7146" w:type="dxa"/>
          </w:tcPr>
          <w:p w:rsidRPr="00534911" w:rsidR="009D3D4D" w:rsidP="002F4DD5" w:rsidRDefault="009D3D4D" w14:paraId="6155C5D0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בסעיף 68(א) לחוק העיקרי, הסיפא החל במילה "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אולם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" – תימחק.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</w:p>
        </w:tc>
      </w:tr>
      <w:tr w:rsidRPr="00534911" w:rsidR="009D3D4D" w:rsidTr="00C74FDF" w14:paraId="0853B669" w14:textId="77777777">
        <w:trPr>
          <w:cantSplit/>
        </w:trPr>
        <w:tc>
          <w:tcPr>
            <w:tcW w:w="1871" w:type="dxa"/>
          </w:tcPr>
          <w:p w:rsidRPr="00534911" w:rsidR="009D3D4D" w:rsidP="002F4DD5" w:rsidRDefault="009D3D4D" w14:paraId="3C6741AD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hAnsi="David" w:eastAsia="Arial Unicode MS" w:cs="David"/>
                <w:snapToGrid w:val="0"/>
                <w:color w:val="auto"/>
                <w:spacing w:val="0"/>
                <w:sz w:val="24"/>
                <w:szCs w:val="24"/>
                <w:rtl/>
                <w:lang w:eastAsia="en-US"/>
              </w:rPr>
            </w:pPr>
            <w:r w:rsidRPr="00534911">
              <w:rPr>
                <w:rFonts w:hint="cs" w:ascii="David" w:hAnsi="David" w:eastAsia="Arial Unicode MS" w:cs="David"/>
                <w:snapToGrid w:val="0"/>
                <w:color w:val="auto"/>
                <w:spacing w:val="0"/>
                <w:sz w:val="24"/>
                <w:szCs w:val="24"/>
                <w:rtl/>
                <w:lang w:eastAsia="en-US"/>
              </w:rPr>
              <w:t xml:space="preserve">תיקון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</w:t>
            </w:r>
            <w:r w:rsidRPr="00534911">
              <w:rPr>
                <w:rFonts w:hint="cs" w:ascii="David" w:hAnsi="David" w:eastAsia="Arial Unicode MS" w:cs="David"/>
                <w:snapToGrid w:val="0"/>
                <w:color w:val="auto"/>
                <w:spacing w:val="0"/>
                <w:sz w:val="24"/>
                <w:szCs w:val="24"/>
                <w:rtl/>
                <w:lang w:eastAsia="en-US"/>
              </w:rPr>
              <w:t xml:space="preserve"> 79</w:t>
            </w:r>
          </w:p>
        </w:tc>
        <w:tc>
          <w:tcPr>
            <w:tcW w:w="624" w:type="dxa"/>
          </w:tcPr>
          <w:p w:rsidRPr="00534911" w:rsidR="009D3D4D" w:rsidP="002F4DD5" w:rsidRDefault="009D3D4D" w14:paraId="604F68EE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4.</w:t>
            </w:r>
          </w:p>
        </w:tc>
        <w:tc>
          <w:tcPr>
            <w:tcW w:w="7146" w:type="dxa"/>
          </w:tcPr>
          <w:p w:rsidRPr="00534911" w:rsidR="009D3D4D" w:rsidP="002F4DD5" w:rsidRDefault="009D3D4D" w14:paraId="61795F8E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בסעיף 79 לחוק העיקרי, במקום "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סעיפים 66 עד 71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" יבוא "סעיפים 66 עד 70".</w:t>
            </w:r>
          </w:p>
        </w:tc>
      </w:tr>
      <w:tr w:rsidRPr="00534911" w:rsidR="009D3D4D" w:rsidTr="00C74FDF" w14:paraId="46AF4F3F" w14:textId="77777777">
        <w:trPr>
          <w:cantSplit/>
        </w:trPr>
        <w:tc>
          <w:tcPr>
            <w:tcW w:w="1871" w:type="dxa"/>
          </w:tcPr>
          <w:p w:rsidRPr="00534911" w:rsidR="009D3D4D" w:rsidDel="00C95024" w:rsidP="002F4DD5" w:rsidRDefault="009D3D4D" w14:paraId="0E899C3C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תיקון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חוק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סדר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הדין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הפלילי</w:t>
            </w:r>
          </w:p>
        </w:tc>
        <w:tc>
          <w:tcPr>
            <w:tcW w:w="624" w:type="dxa"/>
          </w:tcPr>
          <w:p w:rsidRPr="00534911" w:rsidR="009D3D4D" w:rsidP="002F4DD5" w:rsidRDefault="009D3D4D" w14:paraId="503B6537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5.</w:t>
            </w:r>
          </w:p>
        </w:tc>
        <w:tc>
          <w:tcPr>
            <w:tcW w:w="7146" w:type="dxa"/>
          </w:tcPr>
          <w:p w:rsidRPr="00534911" w:rsidR="009D3D4D" w:rsidP="002F4DD5" w:rsidRDefault="009D3D4D" w14:paraId="11A6CA65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חוק סדר הדין הפלילי [נוסח משולב], 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תשמ"ב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–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1982</w:t>
            </w:r>
            <w:r w:rsidRPr="00534911">
              <w:rPr>
                <w:rFonts w:ascii="David" w:hAnsi="David" w:eastAsia="Arial Unicode MS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3"/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– </w:t>
            </w:r>
          </w:p>
        </w:tc>
      </w:tr>
      <w:tr w:rsidRPr="00534911" w:rsidR="009D3D4D" w:rsidTr="00C74FDF" w14:paraId="715D9474" w14:textId="77777777">
        <w:trPr>
          <w:cantSplit/>
        </w:trPr>
        <w:tc>
          <w:tcPr>
            <w:tcW w:w="1871" w:type="dxa"/>
          </w:tcPr>
          <w:p w:rsidRPr="00534911" w:rsidR="009D3D4D" w:rsidDel="00C95024" w:rsidP="002F4DD5" w:rsidRDefault="009D3D4D" w14:paraId="4E7FF376" w14:textId="77777777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hAnsi="David" w:eastAsia="Arial Unicode MS" w:cs="David"/>
                <w:snapToGrid w:val="0"/>
                <w:color w:val="auto"/>
                <w:spacing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24" w:type="dxa"/>
          </w:tcPr>
          <w:p w:rsidRPr="00534911" w:rsidR="009D3D4D" w:rsidP="002F4DD5" w:rsidRDefault="009D3D4D" w14:paraId="1DABCBF6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7146" w:type="dxa"/>
          </w:tcPr>
          <w:p w:rsidRPr="00534911" w:rsidR="009D3D4D" w:rsidP="002F4DD5" w:rsidRDefault="009D3D4D" w14:paraId="62BC6AE4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(1)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ab/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בסעיף 15א(ד), פסקה (2)  – תימחק;</w:t>
            </w:r>
          </w:p>
        </w:tc>
      </w:tr>
      <w:tr w:rsidRPr="00534911" w:rsidR="009D3D4D" w:rsidTr="00C74FDF" w14:paraId="21E5AD22" w14:textId="77777777">
        <w:trPr>
          <w:cantSplit/>
        </w:trPr>
        <w:tc>
          <w:tcPr>
            <w:tcW w:w="1871" w:type="dxa"/>
          </w:tcPr>
          <w:p w:rsidRPr="00534911" w:rsidR="009D3D4D" w:rsidDel="00C95024" w:rsidP="002F4DD5" w:rsidRDefault="009D3D4D" w14:paraId="2E150800" w14:textId="77777777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hAnsi="David" w:eastAsia="Arial Unicode MS" w:cs="David"/>
                <w:snapToGrid w:val="0"/>
                <w:color w:val="auto"/>
                <w:spacing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24" w:type="dxa"/>
          </w:tcPr>
          <w:p w:rsidRPr="00534911" w:rsidR="009D3D4D" w:rsidP="002F4DD5" w:rsidRDefault="009D3D4D" w14:paraId="77E0A42A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7146" w:type="dxa"/>
          </w:tcPr>
          <w:p w:rsidRPr="00534911" w:rsidR="009D3D4D" w:rsidP="002F4DD5" w:rsidRDefault="009D3D4D" w14:paraId="0006D9FF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(2)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ab/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 129א – בטל.</w:t>
            </w:r>
          </w:p>
        </w:tc>
      </w:tr>
      <w:tr w:rsidRPr="00534911" w:rsidR="009D3D4D" w:rsidTr="00C74FDF" w14:paraId="162F76EC" w14:textId="77777777">
        <w:trPr>
          <w:cantSplit/>
        </w:trPr>
        <w:tc>
          <w:tcPr>
            <w:tcW w:w="1871" w:type="dxa"/>
          </w:tcPr>
          <w:p w:rsidRPr="00534911" w:rsidR="009D3D4D" w:rsidDel="00C95024" w:rsidP="00AF6AB8" w:rsidRDefault="009D3D4D" w14:paraId="032FAC40" w14:textId="77777777">
            <w:pPr>
              <w:pStyle w:val="TableSideHeading"/>
              <w:ind w:right="0"/>
              <w:rPr>
                <w:rtl/>
                <w:lang w:eastAsia="en-US"/>
              </w:rPr>
            </w:pPr>
            <w:r w:rsidRPr="00534911">
              <w:rPr>
                <w:rFonts w:hint="eastAsia"/>
                <w:rtl/>
                <w:lang w:eastAsia="en-US"/>
              </w:rPr>
              <w:t>תיקון</w:t>
            </w:r>
            <w:r w:rsidRPr="00534911">
              <w:rPr>
                <w:rtl/>
                <w:lang w:eastAsia="en-US"/>
              </w:rPr>
              <w:t xml:space="preserve"> </w:t>
            </w:r>
            <w:r w:rsidRPr="00534911">
              <w:rPr>
                <w:rFonts w:hint="eastAsia"/>
                <w:rtl/>
                <w:lang w:eastAsia="en-US"/>
              </w:rPr>
              <w:t>חוק</w:t>
            </w:r>
            <w:r w:rsidRPr="00534911">
              <w:rPr>
                <w:rtl/>
                <w:lang w:eastAsia="en-US"/>
              </w:rPr>
              <w:t xml:space="preserve"> </w:t>
            </w:r>
            <w:r w:rsidRPr="00AF6AB8">
              <w:rPr>
                <w:rtl/>
              </w:rPr>
              <w:t>העבירות</w:t>
            </w:r>
            <w:r w:rsidRPr="00534911">
              <w:rPr>
                <w:rtl/>
                <w:lang w:eastAsia="en-US"/>
              </w:rPr>
              <w:t xml:space="preserve"> </w:t>
            </w:r>
            <w:r w:rsidRPr="00534911">
              <w:rPr>
                <w:rFonts w:hint="eastAsia"/>
                <w:rtl/>
                <w:lang w:eastAsia="en-US"/>
              </w:rPr>
              <w:t>המינהליות</w:t>
            </w:r>
          </w:p>
        </w:tc>
        <w:tc>
          <w:tcPr>
            <w:tcW w:w="624" w:type="dxa"/>
          </w:tcPr>
          <w:p w:rsidRPr="00534911" w:rsidR="009D3D4D" w:rsidP="002F4DD5" w:rsidRDefault="009D3D4D" w14:paraId="56EFCB85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6.</w:t>
            </w:r>
          </w:p>
        </w:tc>
        <w:tc>
          <w:tcPr>
            <w:tcW w:w="7146" w:type="dxa"/>
          </w:tcPr>
          <w:p w:rsidRPr="00534911" w:rsidR="009D3D4D" w:rsidP="002F4DD5" w:rsidRDefault="009D3D4D" w14:paraId="485F96F8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בחוק העבירות המינהליות, התשמ"ו–1985</w:t>
            </w:r>
            <w:r w:rsidRPr="00534911">
              <w:rPr>
                <w:rFonts w:ascii="David" w:hAnsi="David" w:eastAsia="Arial Unicode MS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4"/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, סעיף 19 – בטל.</w:t>
            </w:r>
          </w:p>
        </w:tc>
      </w:tr>
      <w:tr w:rsidRPr="00534911" w:rsidR="009D3D4D" w:rsidTr="00C74FDF" w14:paraId="2968E094" w14:textId="77777777">
        <w:trPr>
          <w:cantSplit/>
        </w:trPr>
        <w:tc>
          <w:tcPr>
            <w:tcW w:w="1871" w:type="dxa"/>
          </w:tcPr>
          <w:p w:rsidRPr="00534911" w:rsidR="009D3D4D" w:rsidP="002F4DD5" w:rsidRDefault="009D3D4D" w14:paraId="35F1F282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תיקון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חוק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חדלות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פירעון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ושיקום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כלכלי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624" w:type="dxa"/>
          </w:tcPr>
          <w:p w:rsidRPr="00534911" w:rsidR="009D3D4D" w:rsidP="002F4DD5" w:rsidRDefault="009D3D4D" w14:paraId="1DF1369A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7.</w:t>
            </w:r>
          </w:p>
        </w:tc>
        <w:tc>
          <w:tcPr>
            <w:tcW w:w="7146" w:type="dxa"/>
          </w:tcPr>
          <w:p w:rsidRPr="00534911" w:rsidR="009D3D4D" w:rsidP="002F4DD5" w:rsidRDefault="009D3D4D" w14:paraId="49C86F76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בחוק חדלות פירעון ושיקום כלכלי, התשע"ח–2018</w:t>
            </w:r>
            <w:r w:rsidRPr="00534911">
              <w:rPr>
                <w:rFonts w:ascii="David" w:hAnsi="David" w:eastAsia="Arial Unicode MS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5"/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, בסעיף 121, פסקה (4) – תימחק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.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 </w:t>
            </w:r>
          </w:p>
        </w:tc>
      </w:tr>
      <w:tr w:rsidRPr="00534911" w:rsidR="009D3D4D" w:rsidTr="00C74FDF" w14:paraId="174C2F74" w14:textId="77777777">
        <w:trPr>
          <w:cantSplit/>
        </w:trPr>
        <w:tc>
          <w:tcPr>
            <w:tcW w:w="1871" w:type="dxa"/>
          </w:tcPr>
          <w:p w:rsidRPr="00534911" w:rsidR="009D3D4D" w:rsidP="002F4DD5" w:rsidRDefault="009D3D4D" w14:paraId="377C5805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eastAsia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תיקון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 חוק הנוער (שפיטה, ענישה ודרכי טיפול)</w:t>
            </w:r>
          </w:p>
        </w:tc>
        <w:tc>
          <w:tcPr>
            <w:tcW w:w="624" w:type="dxa"/>
          </w:tcPr>
          <w:p w:rsidRPr="00534911" w:rsidR="009D3D4D" w:rsidP="002F4DD5" w:rsidRDefault="009D3D4D" w14:paraId="384991E2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8.</w:t>
            </w:r>
          </w:p>
        </w:tc>
        <w:tc>
          <w:tcPr>
            <w:tcW w:w="7146" w:type="dxa"/>
          </w:tcPr>
          <w:p w:rsidRPr="00534911" w:rsidR="009D3D4D" w:rsidP="002F4DD5" w:rsidRDefault="009D3D4D" w14:paraId="796E4B50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חוק הנוער (שפיטה, ענישה ודרכי טיפול), 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תשל"א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–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1971</w:t>
            </w:r>
            <w:r w:rsidRPr="00534911">
              <w:rPr>
                <w:rFonts w:ascii="David" w:hAnsi="David" w:eastAsia="Arial Unicode MS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6"/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, בסעיף 27(ב), המילים "</w:t>
            </w:r>
            <w:r w:rsidRPr="00534911"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למעט הוראות סעיף 71 לחוק האמור</w:t>
            </w: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" – יימחקו.</w:t>
            </w:r>
          </w:p>
        </w:tc>
      </w:tr>
      <w:tr w:rsidRPr="00534911" w:rsidR="009D3D4D" w:rsidTr="00C74FDF" w14:paraId="6EE1021D" w14:textId="77777777">
        <w:trPr>
          <w:cantSplit/>
        </w:trPr>
        <w:tc>
          <w:tcPr>
            <w:tcW w:w="1871" w:type="dxa"/>
          </w:tcPr>
          <w:p w:rsidRPr="00534911" w:rsidR="009D3D4D" w:rsidP="002F4DD5" w:rsidRDefault="009D3D4D" w14:paraId="60C5447D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הוראת שעה</w:t>
            </w:r>
          </w:p>
        </w:tc>
        <w:tc>
          <w:tcPr>
            <w:tcW w:w="624" w:type="dxa"/>
          </w:tcPr>
          <w:p w:rsidRPr="00534911" w:rsidR="009D3D4D" w:rsidP="002F4DD5" w:rsidRDefault="009D3D4D" w14:paraId="0AE156F7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9.</w:t>
            </w:r>
          </w:p>
        </w:tc>
        <w:tc>
          <w:tcPr>
            <w:tcW w:w="7146" w:type="dxa"/>
          </w:tcPr>
          <w:p w:rsidRPr="00534911" w:rsidR="009D3D4D" w:rsidP="002F4DD5" w:rsidRDefault="009D3D4D" w14:paraId="01D1F642" w14:textId="77777777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 w:rsidRPr="00534911">
              <w:rPr>
                <w:rFonts w:hint="cs" w:ascii="Arial" w:hAnsi="Arial" w:eastAsia="Arial Unicode MS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חוק זה יעמוד בתוקפו שנתיים מיום פרסומו.</w:t>
            </w:r>
          </w:p>
        </w:tc>
      </w:tr>
    </w:tbl>
    <w:p w:rsidRPr="00C74FDF" w:rsidR="002D1EE3" w:rsidP="00C74FDF" w:rsidRDefault="002D1EE3" w14:paraId="7F6961CA" w14:textId="77777777">
      <w:pPr>
        <w:pStyle w:val="HeadDivreiHesber"/>
        <w:rPr>
          <w:rtl/>
        </w:rPr>
      </w:pPr>
      <w:r w:rsidRPr="00C74FDF">
        <w:rPr>
          <w:rFonts w:hint="cs"/>
          <w:rtl/>
        </w:rPr>
        <w:t>דברי הסבר</w:t>
      </w:r>
    </w:p>
    <w:p w:rsidRPr="00C74FDF" w:rsidR="004D2083" w:rsidP="00C74FDF" w:rsidRDefault="004D2083" w14:paraId="49DFD8BC" w14:textId="77777777">
      <w:pPr>
        <w:pStyle w:val="Hesber"/>
        <w:rPr>
          <w:rtl/>
        </w:rPr>
      </w:pPr>
      <w:r w:rsidRPr="00C74FDF">
        <w:rPr>
          <w:rtl/>
        </w:rPr>
        <w:t xml:space="preserve">סעיף 71 לחוק העונשין מאפשר לבית המשפט להורות על מאסר אדם בשל אי-תשלום קנס פלילי, וזאת גם בחלוף שנים רבות ממועד מתן גזר הדין. </w:t>
      </w:r>
    </w:p>
    <w:p w:rsidRPr="00C74FDF" w:rsidR="004D2083" w:rsidP="00254A01" w:rsidRDefault="004D2083" w14:paraId="2B8A7A8A" w14:textId="6E5E59C9">
      <w:pPr>
        <w:pStyle w:val="Hesber"/>
        <w:rPr>
          <w:rtl/>
        </w:rPr>
      </w:pPr>
      <w:r w:rsidRPr="00C74FDF">
        <w:rPr>
          <w:rtl/>
        </w:rPr>
        <w:lastRenderedPageBreak/>
        <w:t>בפועל, מדי שנה ניתנים כ-30,000 גזרי דין הכוללים הוראה למאסר חלף קנס, כאשר מעל ל-80% מפקודות המאסר חלף קנס, מוטלות על קנסות בסכומים של מתחת ל-5000 ₪. משמעות הדבר היא, שהאוכלוסיות העיקריות עליהן מיושמת אפשרות המאסר חלף קנס, הינן אוכלוסיות מוחלשות, שידן</w:t>
      </w:r>
      <w:r w:rsidRPr="00C74FDF">
        <w:rPr>
          <w:rFonts w:hint="cs"/>
          <w:rtl/>
        </w:rPr>
        <w:t xml:space="preserve"> אינה</w:t>
      </w:r>
      <w:r w:rsidRPr="00C74FDF">
        <w:rPr>
          <w:rtl/>
        </w:rPr>
        <w:t xml:space="preserve"> משגת לשלם את הקנס. ברי כי </w:t>
      </w:r>
      <w:r w:rsidRPr="00C74FDF">
        <w:rPr>
          <w:rFonts w:hint="cs"/>
          <w:rtl/>
        </w:rPr>
        <w:t>מאחר שרוב סכומי הקנסות נמוכים</w:t>
      </w:r>
      <w:r w:rsidR="00254A01">
        <w:rPr>
          <w:rFonts w:hint="cs"/>
          <w:rtl/>
        </w:rPr>
        <w:t xml:space="preserve"> יחסית</w:t>
      </w:r>
      <w:r w:rsidRPr="00C74FDF">
        <w:rPr>
          <w:rFonts w:hint="cs"/>
          <w:rtl/>
        </w:rPr>
        <w:t xml:space="preserve">, </w:t>
      </w:r>
      <w:r w:rsidRPr="00C74FDF">
        <w:rPr>
          <w:rtl/>
        </w:rPr>
        <w:t xml:space="preserve">אין </w:t>
      </w:r>
      <w:r w:rsidRPr="00C74FDF">
        <w:rPr>
          <w:rFonts w:hint="cs"/>
          <w:rtl/>
        </w:rPr>
        <w:t>המדובר בנ</w:t>
      </w:r>
      <w:r w:rsidRPr="00C74FDF">
        <w:rPr>
          <w:rtl/>
        </w:rPr>
        <w:t xml:space="preserve">אשמים </w:t>
      </w:r>
      <w:r w:rsidRPr="00C74FDF">
        <w:rPr>
          <w:rFonts w:hint="cs"/>
          <w:rtl/>
        </w:rPr>
        <w:t>ה</w:t>
      </w:r>
      <w:r w:rsidRPr="00C74FDF">
        <w:rPr>
          <w:rtl/>
        </w:rPr>
        <w:t>בוחרים להסתיר</w:t>
      </w:r>
      <w:r w:rsidRPr="00C74FDF">
        <w:rPr>
          <w:rFonts w:hint="cs"/>
          <w:rtl/>
        </w:rPr>
        <w:t xml:space="preserve"> את ממונם וכך להימנע מתשלום הקנס</w:t>
      </w:r>
      <w:r w:rsidRPr="00C74FDF">
        <w:rPr>
          <w:rtl/>
        </w:rPr>
        <w:t xml:space="preserve">, אלא </w:t>
      </w:r>
      <w:r w:rsidRPr="00C74FDF">
        <w:rPr>
          <w:rFonts w:hint="cs"/>
          <w:rtl/>
        </w:rPr>
        <w:t>בנאשמים ש</w:t>
      </w:r>
      <w:r w:rsidRPr="00C74FDF">
        <w:rPr>
          <w:rtl/>
        </w:rPr>
        <w:t>אין ביכולתם לשלם</w:t>
      </w:r>
      <w:r w:rsidRPr="00C74FDF">
        <w:rPr>
          <w:rFonts w:hint="cs"/>
          <w:rtl/>
        </w:rPr>
        <w:t>,</w:t>
      </w:r>
      <w:r w:rsidRPr="00C74FDF">
        <w:rPr>
          <w:rtl/>
        </w:rPr>
        <w:t xml:space="preserve"> ולכן מעדיפים לרצות עונש מאסר במקום.</w:t>
      </w:r>
    </w:p>
    <w:p w:rsidRPr="00C74FDF" w:rsidR="004D2083" w:rsidP="00C74FDF" w:rsidRDefault="004D2083" w14:paraId="7A8BDC97" w14:textId="77777777">
      <w:pPr>
        <w:pStyle w:val="Hesber"/>
        <w:rPr>
          <w:rtl/>
        </w:rPr>
      </w:pPr>
      <w:r w:rsidRPr="00C74FDF">
        <w:rPr>
          <w:rtl/>
        </w:rPr>
        <w:t>ההצעה לבטל את האפשרות להטיל מאסר חלף קנס, תואמת את המלצתה של הסניגוריה הציבורית, כפי שזו מתבטאת בדוח השנתי לשנת 2019 שפרסמה ביום 9.9.20, כמו גם בפניית</w:t>
      </w:r>
      <w:r w:rsidRPr="00C74FDF">
        <w:rPr>
          <w:rFonts w:hint="cs"/>
          <w:rtl/>
        </w:rPr>
        <w:t>ו</w:t>
      </w:r>
      <w:r w:rsidRPr="00C74FDF">
        <w:rPr>
          <w:rtl/>
        </w:rPr>
        <w:t xml:space="preserve"> </w:t>
      </w:r>
      <w:r w:rsidRPr="00C74FDF">
        <w:rPr>
          <w:rFonts w:hint="cs"/>
          <w:rtl/>
        </w:rPr>
        <w:t xml:space="preserve">בנדון של הסניגור הציבורי הארצי, ד"ר יואב ספיר, </w:t>
      </w:r>
      <w:r w:rsidRPr="00C74FDF">
        <w:rPr>
          <w:rtl/>
        </w:rPr>
        <w:t xml:space="preserve">לגב' עמית מררי, המשנה ליועץ המשפטי לממשלה (משפט פלילי), מיום 6.8.2020. </w:t>
      </w:r>
    </w:p>
    <w:p w:rsidRPr="00C74FDF" w:rsidR="004D2083" w:rsidP="00254A01" w:rsidRDefault="004D2083" w14:paraId="629A929A" w14:textId="7DF9ACA8">
      <w:pPr>
        <w:pStyle w:val="Hesber"/>
        <w:rPr>
          <w:rtl/>
        </w:rPr>
      </w:pPr>
      <w:r w:rsidRPr="00C74FDF">
        <w:rPr>
          <w:rtl/>
        </w:rPr>
        <w:t xml:space="preserve">כפי שמסבירה הסניגוריה הציבורית בדוח השנתי, </w:t>
      </w:r>
      <w:r w:rsidR="00254A01">
        <w:rPr>
          <w:rFonts w:hint="cs"/>
          <w:rtl/>
        </w:rPr>
        <w:t xml:space="preserve">הניסיון </w:t>
      </w:r>
      <w:r w:rsidRPr="00C74FDF">
        <w:rPr>
          <w:rtl/>
        </w:rPr>
        <w:t>מלמד כי מרבית עוברי החוק (בוודאי מבין לקוחות הסניגוריה</w:t>
      </w:r>
      <w:r w:rsidR="00254A01">
        <w:rPr>
          <w:rFonts w:hint="cs"/>
          <w:rtl/>
        </w:rPr>
        <w:t xml:space="preserve"> הציבורית</w:t>
      </w:r>
      <w:r w:rsidRPr="00C74FDF">
        <w:rPr>
          <w:rtl/>
        </w:rPr>
        <w:t xml:space="preserve">), הם ממעמד סוציו-אקונומי נמוך, כאשר עונשי הקנס המוטלים עליהם חורגים ממסוגלותם הכלכלית. זאת ועוד, בגזירת הקנס לא נלקח בחשבון, על פי רוב, מצבו הכלכלי של הנאשם, ולא נערכת חקירת יכולת בטרם קביעת </w:t>
      </w:r>
      <w:r w:rsidRPr="00C74FDF">
        <w:rPr>
          <w:rFonts w:hint="cs"/>
          <w:rtl/>
        </w:rPr>
        <w:t>סכום הקנס</w:t>
      </w:r>
      <w:r w:rsidRPr="00C74FDF">
        <w:rPr>
          <w:rtl/>
        </w:rPr>
        <w:t>. לפיכך, כפי שציין הסניגור הציבורי הארצי, ד"ר יואב ספיר: "אין במשפט הישראלי כל מנגנון הגנה אפקטיבי כנגד כליאת נאשמים רק בשל חיסרון כיסם גם בשלב בו מתבקשת הפעלת מאסר חלף קנס בשל אי-תשלום הקנסות (קנסות שמלכתחילה אינם תואמים בהכרח את יכולתם הכלכלית של הנאשמים</w:t>
      </w:r>
      <w:r w:rsidRPr="00C74FDF">
        <w:t>(</w:t>
      </w:r>
      <w:r w:rsidRPr="00C74FDF">
        <w:rPr>
          <w:rtl/>
        </w:rPr>
        <w:t xml:space="preserve">" (סעיף ד' לפנייתו של ד"ר ספיר למשנה ליועץ המשפטי לממשלה). </w:t>
      </w:r>
    </w:p>
    <w:p w:rsidRPr="00C74FDF" w:rsidR="004D2083" w:rsidP="00C74FDF" w:rsidRDefault="004D2083" w14:paraId="44DFDC6E" w14:textId="18F77304">
      <w:pPr>
        <w:pStyle w:val="Hesber"/>
        <w:rPr>
          <w:rtl/>
        </w:rPr>
      </w:pPr>
      <w:r w:rsidRPr="00C74FDF">
        <w:rPr>
          <w:rFonts w:hint="cs"/>
          <w:rtl/>
        </w:rPr>
        <w:t xml:space="preserve">עוד ניתן ללמוד מנתוני הדוח השנתי של הסניגוריה הציבורית, כי תקופות המאסר המוטלות נעות בין ימים בודדים (כ-25% מהנידונים) לחודשים ארוכים (כ-15% ריצו תקופת מאסר שנעה בין חודשיים לשנה), ובמקרים ספורים אף הוטל מאסר של מעל לשנה. ניתן להבין כי אין קו מנחה להטלת ימי המאסר, ולכן אין גם אחידות. </w:t>
      </w:r>
    </w:p>
    <w:p w:rsidRPr="00C74FDF" w:rsidR="004D2083" w:rsidP="00C74FDF" w:rsidRDefault="004D2083" w14:paraId="5B184DCA" w14:textId="7ADB2B29">
      <w:pPr>
        <w:pStyle w:val="Hesber"/>
        <w:rPr>
          <w:rtl/>
        </w:rPr>
      </w:pPr>
      <w:r w:rsidRPr="00C74FDF">
        <w:rPr>
          <w:rtl/>
        </w:rPr>
        <w:t>יצוין כי הוראה דומה, המאפשרת מאסר חייבי הוצאה לפועל אזרחיים, בוטלה בשנת 2014, בין היתר היות שנמתחה ביקורת על אי חוקיותה, ופגיעתה בזכות היסוד של האדם לחירות</w:t>
      </w:r>
      <w:r w:rsidRPr="00C74FDF">
        <w:rPr>
          <w:rFonts w:hint="cs"/>
          <w:rtl/>
        </w:rPr>
        <w:t xml:space="preserve"> ממאסר</w:t>
      </w:r>
      <w:r w:rsidRPr="00C74FDF">
        <w:rPr>
          <w:rtl/>
        </w:rPr>
        <w:t>, המע</w:t>
      </w:r>
      <w:r w:rsidR="000559F4">
        <w:rPr>
          <w:rtl/>
        </w:rPr>
        <w:t>וגנת בחוק</w:t>
      </w:r>
      <w:r w:rsidR="000559F4">
        <w:rPr>
          <w:rFonts w:hint="cs"/>
          <w:rtl/>
        </w:rPr>
        <w:t>-</w:t>
      </w:r>
      <w:r w:rsidRPr="00C74FDF">
        <w:rPr>
          <w:rtl/>
        </w:rPr>
        <w:t xml:space="preserve">יסוד: כבוד האדם וחירותו.  </w:t>
      </w:r>
    </w:p>
    <w:p w:rsidRPr="00C74FDF" w:rsidR="004D2083" w:rsidP="000559F4" w:rsidRDefault="004D2083" w14:paraId="4969BE56" w14:textId="418226BF">
      <w:pPr>
        <w:pStyle w:val="Hesber"/>
      </w:pPr>
      <w:r w:rsidRPr="00C74FDF">
        <w:rPr>
          <w:rFonts w:hint="cs"/>
          <w:rtl/>
        </w:rPr>
        <w:t xml:space="preserve">ביטול האפשרות למאסר חלף קנס ישיג </w:t>
      </w:r>
      <w:r w:rsidR="000559F4">
        <w:rPr>
          <w:rFonts w:hint="cs"/>
          <w:rtl/>
        </w:rPr>
        <w:t xml:space="preserve">מטרה </w:t>
      </w:r>
      <w:r w:rsidRPr="00C74FDF">
        <w:rPr>
          <w:rFonts w:hint="cs"/>
          <w:rtl/>
        </w:rPr>
        <w:t>חשוב</w:t>
      </w:r>
      <w:r w:rsidR="000559F4">
        <w:rPr>
          <w:rFonts w:hint="cs"/>
          <w:rtl/>
        </w:rPr>
        <w:t>ה</w:t>
      </w:r>
      <w:r w:rsidRPr="00C74FDF">
        <w:rPr>
          <w:rFonts w:hint="cs"/>
          <w:rtl/>
        </w:rPr>
        <w:t xml:space="preserve"> לא פחות, וה</w:t>
      </w:r>
      <w:r w:rsidR="000559F4">
        <w:rPr>
          <w:rFonts w:hint="cs"/>
          <w:rtl/>
        </w:rPr>
        <w:t>י</w:t>
      </w:r>
      <w:r w:rsidRPr="00C74FDF">
        <w:rPr>
          <w:rFonts w:hint="cs"/>
          <w:rtl/>
        </w:rPr>
        <w:t>א צמצום הצפיפות השוררת בבתי הסוהר בארץ.</w:t>
      </w:r>
      <w:r w:rsidRPr="00C74FDF">
        <w:rPr>
          <w:rFonts w:hint="cs"/>
        </w:rPr>
        <w:t xml:space="preserve"> </w:t>
      </w:r>
      <w:r w:rsidRPr="00C74FDF">
        <w:rPr>
          <w:rFonts w:hint="cs"/>
          <w:rtl/>
        </w:rPr>
        <w:t xml:space="preserve">הצעת החוק קבועה בהוראת שעה למשך שנתיים, באופן שיאפשר איסוף נתונים על אודות האפקטיביות של התיקון. </w:t>
      </w:r>
    </w:p>
    <w:p w:rsidR="00AF6AB8" w:rsidP="00254A01" w:rsidRDefault="00C74FDF" w14:paraId="5C34086D" w14:textId="77777777">
      <w:pPr>
        <w:pStyle w:val="Hesber"/>
        <w:rPr>
          <w:rtl/>
        </w:rPr>
      </w:pPr>
      <w:r>
        <w:rPr>
          <w:rFonts w:hint="cs"/>
          <w:rtl/>
        </w:rPr>
        <w:t>הצעת חוק זהה הונחה על שולחן</w:t>
      </w:r>
      <w:r w:rsidRPr="00C74FDF" w:rsidR="004D2083">
        <w:rPr>
          <w:rFonts w:hint="cs"/>
          <w:rtl/>
        </w:rPr>
        <w:t xml:space="preserve"> הכנסת העשרים ושלוש על ידי חברת הכנסת קארין אלהרר (פ/2252/23).</w:t>
      </w:r>
      <w:r w:rsidR="00254A01">
        <w:rPr>
          <w:rFonts w:hint="cs"/>
          <w:rtl/>
        </w:rPr>
        <w:t xml:space="preserve"> </w:t>
      </w:r>
    </w:p>
    <w:p w:rsidRPr="00C74FDF" w:rsidR="00FD5400" w:rsidP="00254A01" w:rsidRDefault="00FD5400" w14:paraId="497422C3" w14:textId="0B1F0046">
      <w:pPr>
        <w:pStyle w:val="Hesber"/>
        <w:rPr>
          <w:rtl/>
        </w:rPr>
      </w:pPr>
      <w:r>
        <w:rPr>
          <w:rFonts w:hint="cs"/>
          <w:rtl/>
        </w:rPr>
        <w:t>הצע</w:t>
      </w:r>
      <w:r w:rsidR="00254A01">
        <w:rPr>
          <w:rFonts w:hint="cs"/>
          <w:rtl/>
        </w:rPr>
        <w:t xml:space="preserve">ת החוק </w:t>
      </w:r>
      <w:r>
        <w:rPr>
          <w:rFonts w:hint="cs"/>
          <w:rtl/>
        </w:rPr>
        <w:t xml:space="preserve">זהה לפ/2252/23 ולפיכך לא נבדקה מחדש על ידי הלשכה המשפטית של הכנסת. </w:t>
      </w:r>
      <w:bookmarkStart w:name="_GoBack" w:id="6"/>
      <w:bookmarkEnd w:id="6"/>
    </w:p>
    <w:p>
      <w:pPr>
        <w:jc w:val="left"/>
        <w:spacing w:before="0" w:after="0" w:line="276" w:lineRule="auto"/>
      </w:pPr>
      <w:bookmarkStart w:name="selectedDocDateB" w:id="9"/>
      <w:bookmarkEnd w:id="9"/>
      <w:r/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--------------------------------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הוגשה ליו"ר הכנסת והסגנים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והונחה על שולחן הכנסת ביום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 xml:space="preserve">ז' בסיוון התשפ"א</w:t>
          <w:t xml:space="preserve"> (18.05.2021) </w:t>
        </w:r>
      </w:p>
    </w:p>
    <w:sectPr w:rsidRPr="00C74FDF" w:rsidR="00FD540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0EBC74C1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AF6AB8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91AFEF5" w14:textId="77777777" w:rsidR="009D3D4D" w:rsidRDefault="009D3D4D" w:rsidP="009D3D4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התשל"ז, עמ' 226.</w:t>
      </w:r>
    </w:p>
  </w:footnote>
  <w:footnote w:id="3">
    <w:p w14:paraId="2BB3E77B" w14:textId="77777777" w:rsidR="009D3D4D" w:rsidRDefault="009D3D4D" w:rsidP="009D3D4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התשמ"ב, עמ' 43.</w:t>
      </w:r>
    </w:p>
  </w:footnote>
  <w:footnote w:id="4">
    <w:p w14:paraId="2FC4116E" w14:textId="77777777" w:rsidR="009D3D4D" w:rsidRDefault="009D3D4D" w:rsidP="009D3D4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התשמ"ו, עמ' 31.</w:t>
      </w:r>
    </w:p>
  </w:footnote>
  <w:footnote w:id="5">
    <w:p w14:paraId="0FDD8833" w14:textId="77777777" w:rsidR="009D3D4D" w:rsidRDefault="009D3D4D" w:rsidP="009D3D4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התשע"ח, עמ' 310.</w:t>
      </w:r>
    </w:p>
  </w:footnote>
  <w:footnote w:id="6">
    <w:p w14:paraId="40BEBAD5" w14:textId="77777777" w:rsidR="009D3D4D" w:rsidRDefault="009D3D4D" w:rsidP="009D3D4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התשל"א, עמ' 174.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59F4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A0F30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54A01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119A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083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3D4D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6AB8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74FDF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3216DCE-290F-402A-BEAF-630C98FC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7EED-6F0C-4BA9-8303-870C6701A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DAA91B-B9FC-4088-8183-172C7AE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579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12</cp:revision>
  <cp:lastPrinted>2013-07-04T08:25:00Z</cp:lastPrinted>
  <dcterms:created xsi:type="dcterms:W3CDTF">2015-04-20T09:58:00Z</dcterms:created>
  <dcterms:modified xsi:type="dcterms:W3CDTF">2021-05-12T09:00:00Z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2157087</vt:r8>
  </property>
</Properties>
</file>