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2157265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קארין אלהרר</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4BFC59FD"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362AF1">
        <w:rPr>
          <w:rtl/>
        </w:rPr>
        <w:tab/>
      </w:r>
      <w:r>
        <w:rPr>
          <w:rFonts w:hint="cs"/>
          <w:rtl/>
        </w:rPr>
        <w:t>פ/993/24</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זכויות נפגעי עבירה (תיקון – שמירת דגימה פורנזית של נפגעי עבירת מין לצורך הפקת דנ"א ללא הגבלת זמן), התשפ"א–2021</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47"/>
      </w:tblGrid>
      <w:tr w:rsidR="00375999" w:rsidRPr="009778FD" w14:paraId="48DAAF86" w14:textId="77777777" w:rsidTr="00906EBB">
        <w:trPr>
          <w:cantSplit/>
        </w:trPr>
        <w:tc>
          <w:tcPr>
            <w:tcW w:w="1871" w:type="dxa"/>
          </w:tcPr>
          <w:p w14:paraId="5440F165" w14:textId="77777777" w:rsidR="00375999" w:rsidRPr="001E1D0B" w:rsidRDefault="00375999" w:rsidP="007F4241">
            <w:pPr>
              <w:pStyle w:val="TableSideHeading"/>
              <w:keepLines w:val="0"/>
            </w:pPr>
            <w:r w:rsidRPr="001E1D0B">
              <w:rPr>
                <w:rFonts w:hint="cs"/>
                <w:rtl/>
              </w:rPr>
              <w:t>הוספת סעיף 24א</w:t>
            </w:r>
          </w:p>
        </w:tc>
        <w:tc>
          <w:tcPr>
            <w:tcW w:w="624" w:type="dxa"/>
          </w:tcPr>
          <w:p w14:paraId="5A797F57" w14:textId="77777777" w:rsidR="00375999" w:rsidRPr="001E1D0B" w:rsidRDefault="00375999" w:rsidP="007F4241">
            <w:pPr>
              <w:pStyle w:val="TableText"/>
              <w:keepLines w:val="0"/>
            </w:pPr>
            <w:r w:rsidRPr="001E1D0B">
              <w:rPr>
                <w:rFonts w:hint="cs"/>
                <w:rtl/>
              </w:rPr>
              <w:t>1.</w:t>
            </w:r>
          </w:p>
        </w:tc>
        <w:tc>
          <w:tcPr>
            <w:tcW w:w="7143" w:type="dxa"/>
            <w:gridSpan w:val="5"/>
          </w:tcPr>
          <w:p w14:paraId="021709AC" w14:textId="77777777" w:rsidR="00375999" w:rsidRPr="001E1D0B" w:rsidRDefault="00375999" w:rsidP="00906EBB">
            <w:pPr>
              <w:pStyle w:val="TableBlock"/>
            </w:pPr>
            <w:r w:rsidRPr="001E1D0B">
              <w:rPr>
                <w:rFonts w:hint="cs"/>
                <w:rtl/>
              </w:rPr>
              <w:t>בחוק זכויות נפגעי עבירה, התשס"א</w:t>
            </w:r>
            <w:r>
              <w:rPr>
                <w:rFonts w:hint="eastAsia"/>
                <w:rtl/>
              </w:rPr>
              <w:t>–</w:t>
            </w:r>
            <w:r w:rsidRPr="001E1D0B">
              <w:rPr>
                <w:rFonts w:hint="cs"/>
                <w:rtl/>
              </w:rPr>
              <w:t>2001</w:t>
            </w:r>
            <w:r w:rsidRPr="00906EBB">
              <w:rPr>
                <w:rStyle w:val="a5"/>
                <w:rFonts w:ascii="David" w:hAnsi="David"/>
                <w:sz w:val="26"/>
                <w:rtl/>
              </w:rPr>
              <w:footnoteReference w:id="2"/>
            </w:r>
            <w:r w:rsidRPr="001E1D0B">
              <w:rPr>
                <w:rFonts w:hint="cs"/>
                <w:rtl/>
              </w:rPr>
              <w:t>, אחרי סעיף 24 יבוא:</w:t>
            </w:r>
          </w:p>
        </w:tc>
      </w:tr>
      <w:tr w:rsidR="00375999" w14:paraId="2A5534CF" w14:textId="77777777" w:rsidTr="00906EBB">
        <w:trPr>
          <w:cantSplit/>
        </w:trPr>
        <w:tc>
          <w:tcPr>
            <w:tcW w:w="1871" w:type="dxa"/>
          </w:tcPr>
          <w:p w14:paraId="088C8FB0" w14:textId="77777777" w:rsidR="00375999" w:rsidRDefault="00375999" w:rsidP="007F4241">
            <w:pPr>
              <w:pStyle w:val="TableSideHeading"/>
              <w:keepLines w:val="0"/>
            </w:pPr>
          </w:p>
        </w:tc>
        <w:tc>
          <w:tcPr>
            <w:tcW w:w="624" w:type="dxa"/>
          </w:tcPr>
          <w:p w14:paraId="1370FB8D" w14:textId="77777777" w:rsidR="00375999" w:rsidRDefault="00375999" w:rsidP="007F4241">
            <w:pPr>
              <w:pStyle w:val="TableText"/>
              <w:keepLines w:val="0"/>
            </w:pPr>
          </w:p>
        </w:tc>
        <w:tc>
          <w:tcPr>
            <w:tcW w:w="1872" w:type="dxa"/>
            <w:gridSpan w:val="3"/>
          </w:tcPr>
          <w:p w14:paraId="706F14EE" w14:textId="77777777" w:rsidR="00375999" w:rsidRPr="00E40EBF" w:rsidRDefault="00375999" w:rsidP="007F4241">
            <w:pPr>
              <w:pStyle w:val="TableInnerSideHeading"/>
            </w:pPr>
            <w:r>
              <w:rPr>
                <w:rFonts w:hint="cs"/>
                <w:rtl/>
              </w:rPr>
              <w:t xml:space="preserve">"נטילת דגימה פורנזית מנפגעי עבירת מין ושמירתה </w:t>
            </w:r>
          </w:p>
        </w:tc>
        <w:tc>
          <w:tcPr>
            <w:tcW w:w="624" w:type="dxa"/>
          </w:tcPr>
          <w:p w14:paraId="7082DDF4" w14:textId="77777777" w:rsidR="00375999" w:rsidRDefault="00375999" w:rsidP="007F4241">
            <w:pPr>
              <w:pStyle w:val="TableText"/>
            </w:pPr>
            <w:r>
              <w:rPr>
                <w:rFonts w:hint="cs"/>
                <w:rtl/>
              </w:rPr>
              <w:t>24א.</w:t>
            </w:r>
          </w:p>
        </w:tc>
        <w:tc>
          <w:tcPr>
            <w:tcW w:w="4647" w:type="dxa"/>
          </w:tcPr>
          <w:p w14:paraId="6789BE44" w14:textId="77777777" w:rsidR="00375999" w:rsidRDefault="00375999" w:rsidP="00906EBB">
            <w:pPr>
              <w:pStyle w:val="TableBlock"/>
            </w:pPr>
            <w:r>
              <w:rPr>
                <w:rFonts w:hint="cs"/>
                <w:rtl/>
              </w:rPr>
              <w:t>(א)</w:t>
            </w:r>
            <w:r>
              <w:rPr>
                <w:rtl/>
              </w:rPr>
              <w:tab/>
            </w:r>
            <w:r w:rsidRPr="001E1D0B">
              <w:rPr>
                <w:rFonts w:hint="cs"/>
                <w:rtl/>
              </w:rPr>
              <w:t>דגימות פורנזיות י</w:t>
            </w:r>
            <w:r>
              <w:rPr>
                <w:rFonts w:hint="cs"/>
                <w:rtl/>
              </w:rPr>
              <w:t>י</w:t>
            </w:r>
            <w:r w:rsidRPr="001E1D0B">
              <w:rPr>
                <w:rFonts w:hint="cs"/>
                <w:rtl/>
              </w:rPr>
              <w:t xml:space="preserve">לקחו </w:t>
            </w:r>
            <w:r>
              <w:rPr>
                <w:rFonts w:hint="cs"/>
                <w:rtl/>
              </w:rPr>
              <w:t xml:space="preserve">מנפגעי עבירות מין </w:t>
            </w:r>
            <w:r w:rsidRPr="001E1D0B">
              <w:rPr>
                <w:rFonts w:hint="cs"/>
                <w:rtl/>
              </w:rPr>
              <w:t>ב</w:t>
            </w:r>
            <w:r>
              <w:rPr>
                <w:rFonts w:hint="cs"/>
                <w:rtl/>
              </w:rPr>
              <w:t xml:space="preserve">כל </w:t>
            </w:r>
            <w:r w:rsidRPr="001E1D0B">
              <w:rPr>
                <w:rFonts w:hint="cs"/>
                <w:rtl/>
              </w:rPr>
              <w:t xml:space="preserve">בתי </w:t>
            </w:r>
            <w:r>
              <w:rPr>
                <w:rFonts w:hint="cs"/>
                <w:rtl/>
              </w:rPr>
              <w:t>ה</w:t>
            </w:r>
            <w:r w:rsidRPr="001E1D0B">
              <w:rPr>
                <w:rFonts w:hint="cs"/>
                <w:rtl/>
              </w:rPr>
              <w:t>חולים ובמרכזים אקוט</w:t>
            </w:r>
            <w:r>
              <w:rPr>
                <w:rFonts w:hint="cs"/>
                <w:rtl/>
              </w:rPr>
              <w:t>י</w:t>
            </w:r>
            <w:r w:rsidRPr="001E1D0B">
              <w:rPr>
                <w:rFonts w:hint="cs"/>
                <w:rtl/>
              </w:rPr>
              <w:t>ים</w:t>
            </w:r>
            <w:r>
              <w:rPr>
                <w:rFonts w:hint="cs"/>
                <w:rtl/>
              </w:rPr>
              <w:t xml:space="preserve"> ייעודיים באמצעות</w:t>
            </w:r>
            <w:r w:rsidRPr="001E1D0B">
              <w:rPr>
                <w:rFonts w:hint="cs"/>
                <w:rtl/>
              </w:rPr>
              <w:t xml:space="preserve"> </w:t>
            </w:r>
            <w:r>
              <w:rPr>
                <w:rFonts w:hint="cs"/>
                <w:rtl/>
              </w:rPr>
              <w:t>ערכות לדגימה</w:t>
            </w:r>
            <w:r w:rsidRPr="001E1D0B">
              <w:rPr>
                <w:rFonts w:hint="cs"/>
                <w:rtl/>
              </w:rPr>
              <w:t xml:space="preserve"> </w:t>
            </w:r>
            <w:r>
              <w:rPr>
                <w:rFonts w:hint="cs"/>
                <w:rtl/>
              </w:rPr>
              <w:t>ש</w:t>
            </w:r>
            <w:r w:rsidRPr="001E1D0B">
              <w:rPr>
                <w:rFonts w:hint="cs"/>
                <w:rtl/>
              </w:rPr>
              <w:t>יסופקו על ידי משטרת ישראל.</w:t>
            </w:r>
          </w:p>
        </w:tc>
      </w:tr>
      <w:tr w:rsidR="00375999" w14:paraId="608FF314" w14:textId="77777777" w:rsidTr="00906EBB">
        <w:trPr>
          <w:cantSplit/>
        </w:trPr>
        <w:tc>
          <w:tcPr>
            <w:tcW w:w="1871" w:type="dxa"/>
          </w:tcPr>
          <w:p w14:paraId="21D7B794" w14:textId="77777777" w:rsidR="00375999" w:rsidRDefault="00375999" w:rsidP="007F4241">
            <w:pPr>
              <w:pStyle w:val="TableSideHeading"/>
            </w:pPr>
          </w:p>
        </w:tc>
        <w:tc>
          <w:tcPr>
            <w:tcW w:w="624" w:type="dxa"/>
          </w:tcPr>
          <w:p w14:paraId="6BAA5C17" w14:textId="77777777" w:rsidR="00375999" w:rsidRDefault="00375999" w:rsidP="007F4241">
            <w:pPr>
              <w:pStyle w:val="TableText"/>
            </w:pPr>
          </w:p>
        </w:tc>
        <w:tc>
          <w:tcPr>
            <w:tcW w:w="624" w:type="dxa"/>
          </w:tcPr>
          <w:p w14:paraId="019BC875" w14:textId="77777777" w:rsidR="00375999" w:rsidRDefault="00375999" w:rsidP="007F4241">
            <w:pPr>
              <w:pStyle w:val="TableText"/>
            </w:pPr>
          </w:p>
        </w:tc>
        <w:tc>
          <w:tcPr>
            <w:tcW w:w="624" w:type="dxa"/>
          </w:tcPr>
          <w:p w14:paraId="5065EBC6" w14:textId="77777777" w:rsidR="00375999" w:rsidRDefault="00375999" w:rsidP="007F4241">
            <w:pPr>
              <w:pStyle w:val="TableText"/>
            </w:pPr>
          </w:p>
        </w:tc>
        <w:tc>
          <w:tcPr>
            <w:tcW w:w="624" w:type="dxa"/>
          </w:tcPr>
          <w:p w14:paraId="7112D867" w14:textId="77777777" w:rsidR="00375999" w:rsidRDefault="00375999" w:rsidP="007F4241">
            <w:pPr>
              <w:pStyle w:val="TableText"/>
            </w:pPr>
          </w:p>
        </w:tc>
        <w:tc>
          <w:tcPr>
            <w:tcW w:w="624" w:type="dxa"/>
          </w:tcPr>
          <w:p w14:paraId="7B04EC0A" w14:textId="77777777" w:rsidR="00375999" w:rsidRDefault="00375999" w:rsidP="007F4241">
            <w:pPr>
              <w:pStyle w:val="TableText"/>
            </w:pPr>
          </w:p>
        </w:tc>
        <w:tc>
          <w:tcPr>
            <w:tcW w:w="4647" w:type="dxa"/>
          </w:tcPr>
          <w:p w14:paraId="06E028F5" w14:textId="77777777" w:rsidR="00375999" w:rsidRDefault="00375999" w:rsidP="00906EBB">
            <w:pPr>
              <w:pStyle w:val="TableBlock"/>
              <w:rPr>
                <w:rtl/>
              </w:rPr>
            </w:pPr>
            <w:r>
              <w:rPr>
                <w:rFonts w:hint="cs"/>
                <w:rtl/>
              </w:rPr>
              <w:t>(ב)</w:t>
            </w:r>
            <w:r>
              <w:rPr>
                <w:rtl/>
              </w:rPr>
              <w:tab/>
            </w:r>
            <w:r w:rsidRPr="001E1D0B">
              <w:rPr>
                <w:rFonts w:hint="cs"/>
                <w:rtl/>
              </w:rPr>
              <w:t xml:space="preserve">נלקחה דגימה פורנזית </w:t>
            </w:r>
            <w:r>
              <w:rPr>
                <w:rFonts w:hint="cs"/>
                <w:rtl/>
              </w:rPr>
              <w:t xml:space="preserve">כאמור בסעיף קטן (א), תועבר בהסכמת הנפגע </w:t>
            </w:r>
            <w:r w:rsidRPr="001E1D0B">
              <w:rPr>
                <w:rFonts w:hint="cs"/>
                <w:rtl/>
              </w:rPr>
              <w:t>למכון לרפואה משפטית ותישמר בו ללא הגבלת זמן</w:t>
            </w:r>
            <w:r>
              <w:rPr>
                <w:rFonts w:hint="cs"/>
                <w:rtl/>
              </w:rPr>
              <w:t>,</w:t>
            </w:r>
            <w:r w:rsidRPr="001E1D0B">
              <w:rPr>
                <w:rFonts w:hint="cs"/>
                <w:rtl/>
              </w:rPr>
              <w:t xml:space="preserve"> בתנאים מתאימים ל</w:t>
            </w:r>
            <w:r>
              <w:rPr>
                <w:rFonts w:hint="cs"/>
                <w:rtl/>
              </w:rPr>
              <w:t>שם</w:t>
            </w:r>
            <w:r w:rsidRPr="001E1D0B">
              <w:rPr>
                <w:rFonts w:hint="cs"/>
                <w:rtl/>
              </w:rPr>
              <w:t xml:space="preserve"> הפקת </w:t>
            </w:r>
            <w:r>
              <w:rPr>
                <w:rFonts w:hint="cs"/>
              </w:rPr>
              <w:t>DNA</w:t>
            </w:r>
            <w:r w:rsidRPr="001E1D0B">
              <w:rPr>
                <w:rFonts w:hint="cs"/>
                <w:rtl/>
              </w:rPr>
              <w:t>.</w:t>
            </w:r>
            <w:r>
              <w:rPr>
                <w:rFonts w:hint="cs"/>
                <w:rtl/>
              </w:rPr>
              <w:t>"</w:t>
            </w:r>
          </w:p>
        </w:tc>
      </w:tr>
    </w:tbl>
    <w:p w14:paraId="7F6961CA" w14:textId="77777777" w:rsidR="002D1EE3" w:rsidRPr="00906EBB" w:rsidRDefault="002D1EE3" w:rsidP="00906EBB">
      <w:pPr>
        <w:pStyle w:val="HeadDivreiHesber"/>
        <w:rPr>
          <w:rtl/>
        </w:rPr>
      </w:pPr>
      <w:r w:rsidRPr="00906EBB">
        <w:rPr>
          <w:rFonts w:hint="cs"/>
          <w:rtl/>
        </w:rPr>
        <w:t>דברי הסבר</w:t>
      </w:r>
    </w:p>
    <w:p w14:paraId="4B6A4855" w14:textId="77777777" w:rsidR="00375999" w:rsidRPr="00906EBB" w:rsidRDefault="00375999" w:rsidP="00906EBB">
      <w:pPr>
        <w:pStyle w:val="Hesber"/>
        <w:rPr>
          <w:rtl/>
        </w:rPr>
      </w:pPr>
      <w:r w:rsidRPr="00906EBB">
        <w:rPr>
          <w:rFonts w:hint="cs"/>
          <w:rtl/>
        </w:rPr>
        <w:t xml:space="preserve">על פי נהלי משרד הבריאות, כאשר נפגעי עבירות מין מסוימות מגיעים למרכזים אקוטיים (מרכזים שבהם ניתן מרבית הטיפול בנפגעי עבירות מין), נלקחת מגופם דגימה ביולוגית באמצעות ערכה המורכבת על ידי מז"פ. מדגימה זו ניתן להפיק דנ"א בהמשך, לצרכי זיהוי בעת חקירה משטרתית וגיבוש תשתית ראייתית לפני הגשת כתב אישום. </w:t>
      </w:r>
    </w:p>
    <w:p w14:paraId="4765D4F9" w14:textId="39FF7929" w:rsidR="00375999" w:rsidRPr="00906EBB" w:rsidRDefault="00375999" w:rsidP="00487191">
      <w:pPr>
        <w:pStyle w:val="Hesber"/>
        <w:rPr>
          <w:rtl/>
        </w:rPr>
      </w:pPr>
      <w:r w:rsidRPr="00906EBB">
        <w:rPr>
          <w:rFonts w:hint="cs"/>
          <w:rtl/>
        </w:rPr>
        <w:t xml:space="preserve">מדוח מרכז המחקר והמידע של הכנסת מתאריך 10 בדצמבר 2017 ("היבטים בטיפול בנפגעות ובנפגעים של עבירות מין בדגש על איסוף ראיות פורנזיות ושמירתן"), עולה כי על פי נהלי משרד הבריאות, במקרים שבהם מוגשת תלונה במשטרה ערכת הדיגום מועברת למשטרה (מז"פ) והיא מהווה מוצג משפטי. לעומת זאת, במקרים שבהם לא מוגשת תלונה למשטרה, הדגימות הביולוגיות כלל אינן מועברות למז"פ; ערכת הדיגום נשמרת במכון לרפואה משפטית </w:t>
      </w:r>
      <w:r w:rsidR="00487191">
        <w:rPr>
          <w:rFonts w:hint="cs"/>
          <w:rtl/>
        </w:rPr>
        <w:t>ל</w:t>
      </w:r>
      <w:r w:rsidRPr="00906EBB">
        <w:rPr>
          <w:rFonts w:hint="cs"/>
          <w:rtl/>
        </w:rPr>
        <w:t xml:space="preserve">משך שלושה חודשים בלבד ואז מושמדת, כאשר על פי הנוהל, יש ליידע את נפגעי העבירה בכתב על השמדת ערכת הדיגום. </w:t>
      </w:r>
    </w:p>
    <w:p w14:paraId="28A8241C" w14:textId="44AD88D4" w:rsidR="00375999" w:rsidRPr="00906EBB" w:rsidRDefault="00375999" w:rsidP="00487191">
      <w:pPr>
        <w:pStyle w:val="Hesber"/>
        <w:rPr>
          <w:rtl/>
        </w:rPr>
      </w:pPr>
      <w:r w:rsidRPr="00906EBB">
        <w:rPr>
          <w:rFonts w:hint="cs"/>
          <w:rtl/>
        </w:rPr>
        <w:t xml:space="preserve">על אף האמור, בפועל מסתמן כי בישראל הנוהל </w:t>
      </w:r>
      <w:r w:rsidR="00487191">
        <w:rPr>
          <w:rFonts w:hint="cs"/>
          <w:rtl/>
        </w:rPr>
        <w:t xml:space="preserve">בעניין </w:t>
      </w:r>
      <w:r w:rsidRPr="00906EBB">
        <w:rPr>
          <w:rFonts w:hint="cs"/>
          <w:rtl/>
        </w:rPr>
        <w:t xml:space="preserve">שמירת דגימות ביולוגיות במרכזים </w:t>
      </w:r>
      <w:r w:rsidRPr="00906EBB">
        <w:rPr>
          <w:rFonts w:hint="cs"/>
          <w:rtl/>
        </w:rPr>
        <w:lastRenderedPageBreak/>
        <w:t>האקוטיים שבבתי החולים בישראל ש</w:t>
      </w:r>
      <w:r w:rsidR="00487191">
        <w:rPr>
          <w:rFonts w:hint="cs"/>
          <w:rtl/>
        </w:rPr>
        <w:t xml:space="preserve">קובע את </w:t>
      </w:r>
      <w:r w:rsidRPr="00906EBB">
        <w:rPr>
          <w:rFonts w:hint="cs"/>
          <w:rtl/>
        </w:rPr>
        <w:t>משך שמירת הדגימות, מיקום השמירה ו</w:t>
      </w:r>
      <w:r w:rsidR="00487191">
        <w:rPr>
          <w:rFonts w:hint="cs"/>
          <w:rtl/>
        </w:rPr>
        <w:t xml:space="preserve">מחייב </w:t>
      </w:r>
      <w:r w:rsidRPr="00906EBB">
        <w:rPr>
          <w:rFonts w:hint="cs"/>
          <w:rtl/>
        </w:rPr>
        <w:t>יידוע הנפגעים על השמדת הדגימות, ככל שלא הוגשה תלונה למשטרה, לא מ</w:t>
      </w:r>
      <w:r w:rsidR="00487191">
        <w:rPr>
          <w:rFonts w:hint="cs"/>
          <w:rtl/>
        </w:rPr>
        <w:t xml:space="preserve">יושם </w:t>
      </w:r>
      <w:r w:rsidRPr="00906EBB">
        <w:rPr>
          <w:rFonts w:hint="cs"/>
          <w:rtl/>
        </w:rPr>
        <w:t>בפועל. זאת ועוד, טופס ההסכמה הראשוני עליו חותמים נפגעי התקיפות</w:t>
      </w:r>
      <w:r w:rsidR="00487191">
        <w:rPr>
          <w:rFonts w:hint="cs"/>
          <w:rtl/>
        </w:rPr>
        <w:t xml:space="preserve"> המיניות</w:t>
      </w:r>
      <w:r w:rsidRPr="00906EBB">
        <w:rPr>
          <w:rFonts w:hint="cs"/>
          <w:rtl/>
        </w:rPr>
        <w:t xml:space="preserve"> לצורך אישור לקיחת הדגימה הביולוגית עם הגעתם למרכז, כלל אינו כולל מידע על השמדת הדגימות כעבור שלושה חודשים.</w:t>
      </w:r>
    </w:p>
    <w:p w14:paraId="557DFCDE" w14:textId="77777777" w:rsidR="00375999" w:rsidRPr="00906EBB" w:rsidRDefault="00375999" w:rsidP="00906EBB">
      <w:pPr>
        <w:pStyle w:val="Hesber"/>
        <w:rPr>
          <w:rtl/>
        </w:rPr>
      </w:pPr>
      <w:r w:rsidRPr="00906EBB">
        <w:rPr>
          <w:rFonts w:hint="cs"/>
          <w:rtl/>
        </w:rPr>
        <w:t>יש לציין, כי דגימה ביולוגית ניתן לשמר בטמפרטורת החדר והיא יכולה לשמש להפקת דנ"א במשך שנים רבות. בדומה, ניתן לשמר דנ"א לאחר הפקתו מהדגימה במעבדה הביולוגית, בתנאי הקפאה במשך שנים רבות לצורך הכנת "פרופיל גנטי" – מידע שניתן לשמור כקובץ נתונים ממוחשב ללא הגבלת זמן.</w:t>
      </w:r>
    </w:p>
    <w:p w14:paraId="5D5AC16A" w14:textId="77777777" w:rsidR="00375999" w:rsidRPr="00906EBB" w:rsidRDefault="00375999" w:rsidP="00906EBB">
      <w:pPr>
        <w:pStyle w:val="Hesber"/>
        <w:rPr>
          <w:rtl/>
        </w:rPr>
      </w:pPr>
      <w:r w:rsidRPr="00906EBB">
        <w:rPr>
          <w:rFonts w:hint="cs"/>
          <w:rtl/>
        </w:rPr>
        <w:t xml:space="preserve">לפיכך, מוצע בהצעת חוק זו להסדיר את שמירת הדגימות הביולוגיות ולקבוע שכלל ערכות הדיגום הנלקחות מגופם של נפגעי עבירות מין, בעבירות שניתן לאסוף על בסיסן דגימות ביולוגיות, יועברו למכון לרפואה משפטית לצורך הפקת דנ"א וישמרו שם ללא הגבלת זמן, אלא אם ידרשו לעבור למשטרת ישראל לצורך שימוש משפטי. מטרת ההצעה היא לאפשר לנפגעי תקיפה מינית לעשות שימוש בדגימות ביולוגיות שעשויות לשמש ראיות פורנזיות בהליך משפטי עתידי גם לאחר פרק זמן ממושך ממועד ביצוע העבירה, ובכך למנוע מצב שבו נפגעי תקיפה מינית לא יגישו תלונה רק בשל היעדר ממצאים משפטיים ויכולת לבסס תשתית ראייתית, כשאלו אפשריים באמצעות בדיקת הפקת דנ"א פשוטה. </w:t>
      </w:r>
    </w:p>
    <w:p w14:paraId="7DBAE781" w14:textId="77777777" w:rsidR="00375999" w:rsidRPr="00906EBB" w:rsidRDefault="00375999" w:rsidP="00906EBB">
      <w:pPr>
        <w:pStyle w:val="Hesber"/>
        <w:rPr>
          <w:rtl/>
        </w:rPr>
      </w:pPr>
      <w:r w:rsidRPr="00906EBB">
        <w:rPr>
          <w:rFonts w:hint="cs"/>
          <w:rtl/>
        </w:rPr>
        <w:t xml:space="preserve">ראוי לציין בהקשר זה כי תקופת ההתיישנות החלה על עבירות מין בישראל תלויה במועד ביצוע העבירה, בסוג העבירה ובטיב הקשר בין הפוגע לנפגע העבירה. החוק כיום מתיר הגשת תלונה על עבירת מין שנים לאחר ביצועה, ובמקרה של עבירות מין בקטינים </w:t>
      </w:r>
      <w:r w:rsidRPr="00906EBB">
        <w:rPr>
          <w:rFonts w:hint="eastAsia"/>
          <w:rtl/>
        </w:rPr>
        <w:t>–</w:t>
      </w:r>
      <w:r w:rsidRPr="00906EBB">
        <w:rPr>
          <w:rFonts w:hint="cs"/>
          <w:rtl/>
        </w:rPr>
        <w:t xml:space="preserve"> אף עשרות שנים לאחר מכן. על כן שמירת הדגימות ללא הגבלת פרק זמן רק תסייע ביצירת מנגנון זכאות הוגן לנפגעים בהגשת תלונה עתידית.  </w:t>
      </w:r>
    </w:p>
    <w:p w14:paraId="06504491" w14:textId="77777777" w:rsidR="00375999" w:rsidRPr="001165CB" w:rsidRDefault="00375999" w:rsidP="00906EBB">
      <w:pPr>
        <w:pStyle w:val="Hesber"/>
        <w:rPr>
          <w:rtl/>
        </w:rPr>
      </w:pPr>
      <w:r w:rsidRPr="00906EBB">
        <w:rPr>
          <w:rFonts w:hint="cs"/>
          <w:rtl/>
        </w:rPr>
        <w:t xml:space="preserve">כמו כן, על פי המצב הנוהג כיום, בתי חולים שאין בהם מרכז אקוטי אינם מבקשים את ערכת הדיגום ממז"פ. בישראל קיימים כיום חמישה מרכזים אקוטיים בבתי החולים וכך יוצא שבמקרים שהנפגעים מגיעים לבתי חולים שאין בהם מרכז אקוטי, לא נלקחות דגימות ביולוגיות בהיעדר ערכות. על כן, מוצע בתיקון זה גם לקבוע שכלל בתי החולים בישראל יקבלו ערכת דיגום ממז"פ ותילקח בהם דגימה ביולוגית </w:t>
      </w:r>
      <w:r w:rsidRPr="001165CB">
        <w:rPr>
          <w:rFonts w:hint="cs"/>
          <w:rtl/>
        </w:rPr>
        <w:t xml:space="preserve">במקרים שבהם מגיעים אליהם נפגעי תקיפה מינית בעבירות המתאימות ללקיחת דגימה. לאחר מכן, יוכלו להפנות את נפגעי התקיפה למרכז האקוטי הקרוב לקבלת המשך הטיפול הכולל. </w:t>
      </w:r>
    </w:p>
    <w:p w14:paraId="5063162A" w14:textId="1F12A114" w:rsidR="00375999" w:rsidRPr="001165CB" w:rsidRDefault="00375999" w:rsidP="00362AF1">
      <w:pPr>
        <w:pStyle w:val="Hesber"/>
        <w:rPr>
          <w:rtl/>
        </w:rPr>
      </w:pPr>
      <w:r w:rsidRPr="001165CB">
        <w:rPr>
          <w:rFonts w:hint="cs"/>
          <w:rtl/>
        </w:rPr>
        <w:t>הצע</w:t>
      </w:r>
      <w:r w:rsidR="00487191">
        <w:rPr>
          <w:rFonts w:hint="cs"/>
          <w:rtl/>
        </w:rPr>
        <w:t>ו</w:t>
      </w:r>
      <w:r w:rsidRPr="001165CB">
        <w:rPr>
          <w:rFonts w:hint="cs"/>
          <w:rtl/>
        </w:rPr>
        <w:t>ת חוק זה</w:t>
      </w:r>
      <w:r w:rsidR="00487191">
        <w:rPr>
          <w:rFonts w:hint="cs"/>
          <w:rtl/>
        </w:rPr>
        <w:t>ות</w:t>
      </w:r>
      <w:r w:rsidRPr="001165CB">
        <w:rPr>
          <w:rFonts w:hint="cs"/>
          <w:rtl/>
        </w:rPr>
        <w:t xml:space="preserve"> הונח</w:t>
      </w:r>
      <w:r w:rsidR="00487191">
        <w:rPr>
          <w:rFonts w:hint="cs"/>
          <w:rtl/>
        </w:rPr>
        <w:t>ו</w:t>
      </w:r>
      <w:r w:rsidRPr="001165CB">
        <w:rPr>
          <w:rFonts w:hint="cs"/>
          <w:rtl/>
        </w:rPr>
        <w:t xml:space="preserve"> על שולחן הכנסת העשרים על ידי חברת הכנסת קארין אלהר</w:t>
      </w:r>
      <w:r w:rsidR="000D1F7D">
        <w:rPr>
          <w:rFonts w:hint="cs"/>
          <w:rtl/>
        </w:rPr>
        <w:t xml:space="preserve">ר וקבוצת חברי הכנסת (פ/5902/20), </w:t>
      </w:r>
      <w:r w:rsidR="00C8702A" w:rsidRPr="001165CB">
        <w:rPr>
          <w:rFonts w:hint="cs"/>
          <w:rtl/>
        </w:rPr>
        <w:t>ו</w:t>
      </w:r>
      <w:r w:rsidRPr="001165CB">
        <w:rPr>
          <w:rFonts w:hint="cs"/>
          <w:rtl/>
        </w:rPr>
        <w:t xml:space="preserve">על שולחן הכנסת העשרים ושתיים </w:t>
      </w:r>
      <w:r w:rsidR="000D1F7D">
        <w:rPr>
          <w:rFonts w:hint="cs"/>
          <w:rtl/>
        </w:rPr>
        <w:t>ו</w:t>
      </w:r>
      <w:r w:rsidR="00487191">
        <w:rPr>
          <w:rFonts w:hint="cs"/>
          <w:rtl/>
        </w:rPr>
        <w:t xml:space="preserve">על שולחן הכנסת </w:t>
      </w:r>
      <w:r w:rsidR="000D1F7D">
        <w:rPr>
          <w:rFonts w:hint="cs"/>
          <w:rtl/>
        </w:rPr>
        <w:t xml:space="preserve">העשרים ושלוש </w:t>
      </w:r>
      <w:r w:rsidRPr="001165CB">
        <w:rPr>
          <w:rFonts w:hint="cs"/>
          <w:rtl/>
        </w:rPr>
        <w:t>על ידי חב</w:t>
      </w:r>
      <w:r w:rsidR="00C8702A" w:rsidRPr="001165CB">
        <w:rPr>
          <w:rFonts w:hint="cs"/>
          <w:rtl/>
        </w:rPr>
        <w:t>רת הכנסת קארין אלהרר (פ/12/22</w:t>
      </w:r>
      <w:r w:rsidR="00362AF1">
        <w:rPr>
          <w:rFonts w:hint="cs"/>
          <w:rtl/>
        </w:rPr>
        <w:t>;</w:t>
      </w:r>
      <w:r w:rsidR="00C8702A" w:rsidRPr="001165CB">
        <w:rPr>
          <w:rFonts w:hint="cs"/>
          <w:rtl/>
        </w:rPr>
        <w:t xml:space="preserve"> פ/853/23)</w:t>
      </w:r>
      <w:r w:rsidRPr="001165CB">
        <w:rPr>
          <w:rFonts w:hint="cs"/>
          <w:rtl/>
        </w:rPr>
        <w:t>.</w:t>
      </w:r>
    </w:p>
    <w:p w14:paraId="72F6CD43" w14:textId="7E940546" w:rsidR="00C8702A" w:rsidRPr="00906EBB" w:rsidRDefault="00C8702A" w:rsidP="00487191">
      <w:pPr>
        <w:pStyle w:val="Hesber"/>
        <w:rPr>
          <w:rtl/>
        </w:rPr>
      </w:pPr>
      <w:r w:rsidRPr="001165CB">
        <w:rPr>
          <w:rFonts w:hint="cs"/>
          <w:rtl/>
        </w:rPr>
        <w:t>הצע</w:t>
      </w:r>
      <w:r w:rsidR="00487191">
        <w:rPr>
          <w:rFonts w:hint="cs"/>
          <w:rtl/>
        </w:rPr>
        <w:t xml:space="preserve">ת החוק </w:t>
      </w:r>
      <w:r w:rsidRPr="001165CB">
        <w:rPr>
          <w:rFonts w:hint="cs"/>
          <w:rtl/>
        </w:rPr>
        <w:t>זהה ל</w:t>
      </w:r>
      <w:bookmarkStart w:id="8" w:name="_GoBack"/>
      <w:bookmarkEnd w:id="8"/>
      <w:r w:rsidRPr="001165CB">
        <w:rPr>
          <w:rFonts w:hint="cs"/>
          <w:rtl/>
        </w:rPr>
        <w:t>פ/853/23 ולפיכך לא נבד</w:t>
      </w:r>
      <w:r w:rsidR="00DD3A07" w:rsidRPr="001165CB">
        <w:rPr>
          <w:rFonts w:hint="cs"/>
          <w:rtl/>
        </w:rPr>
        <w:t>ק</w:t>
      </w:r>
      <w:r w:rsidRPr="001165CB">
        <w:rPr>
          <w:rFonts w:hint="cs"/>
          <w:rtl/>
        </w:rPr>
        <w:t>ה מחדש על ידי הלשכה המשפטית של הכנסת.</w:t>
      </w:r>
      <w:r w:rsidRPr="00906EBB">
        <w:rPr>
          <w:rFonts w:hint="cs"/>
          <w:rtl/>
        </w:rPr>
        <w:t xml:space="preserve"> </w:t>
      </w:r>
    </w:p>
    <w:p w14:paraId="04561889" w14:textId="77777777" w:rsidR="00375999" w:rsidRDefault="00375999" w:rsidP="00375999">
      <w:pPr>
        <w:pStyle w:val="Hesber"/>
        <w:rPr>
          <w:rtl/>
        </w:rPr>
      </w:pPr>
    </w:p>
    <w:p w14:paraId="7F6961CB" w14:textId="77777777" w:rsidR="00E13C27" w:rsidRDefault="00E13C27" w:rsidP="00E13C27">
      <w:pPr>
        <w:pStyle w:val="Hesber"/>
        <w:rPr>
          <w:rtl/>
        </w:rPr>
      </w:pPr>
    </w:p>
    <w:p w14:paraId="4462D57F" w14:textId="77777777" w:rsidR="00E64302" w:rsidRDefault="00362AF1">
      <w:pPr>
        <w:jc w:val="left"/>
      </w:pPr>
      <w:bookmarkStart w:id="9" w:name="selectedDocDateB"/>
      <w:bookmarkEnd w:id="9"/>
      <w:r>
        <w:rPr>
          <w:rFonts w:eastAsia="David" w:hint="cs"/>
          <w:sz w:val="26"/>
          <w:szCs w:val="26"/>
          <w:rtl/>
        </w:rPr>
        <w:t>--------------------------------</w:t>
      </w:r>
    </w:p>
    <w:p w14:paraId="1EA54C7E" w14:textId="77777777" w:rsidR="00E64302" w:rsidRDefault="00362AF1">
      <w:pPr>
        <w:jc w:val="left"/>
      </w:pPr>
      <w:r>
        <w:rPr>
          <w:rFonts w:eastAsia="David" w:hint="cs"/>
          <w:sz w:val="26"/>
          <w:szCs w:val="26"/>
          <w:rtl/>
        </w:rPr>
        <w:t>הוגשה ליו"ר הכנסת והסגנים</w:t>
      </w:r>
    </w:p>
    <w:p w14:paraId="46745211" w14:textId="77777777" w:rsidR="00E64302" w:rsidRDefault="00362AF1">
      <w:pPr>
        <w:jc w:val="left"/>
      </w:pPr>
      <w:r>
        <w:rPr>
          <w:rFonts w:eastAsia="David" w:hint="cs"/>
          <w:sz w:val="26"/>
          <w:szCs w:val="26"/>
          <w:rtl/>
        </w:rPr>
        <w:t>והונחה על שולחן הכנסת ביום</w:t>
      </w:r>
    </w:p>
    <w:p w14:paraId="777D3D46" w14:textId="77777777" w:rsidR="00E64302" w:rsidRDefault="00362AF1">
      <w:pPr>
        <w:jc w:val="left"/>
      </w:pPr>
      <w:r>
        <w:rPr>
          <w:rFonts w:eastAsia="David" w:hint="cs"/>
          <w:sz w:val="26"/>
          <w:szCs w:val="26"/>
          <w:rtl/>
        </w:rPr>
        <w:t>ז' בסיוון התשפ"א</w:t>
      </w:r>
      <w:r>
        <w:rPr>
          <w:rFonts w:eastAsia="David" w:hint="cs"/>
          <w:sz w:val="26"/>
          <w:szCs w:val="26"/>
          <w:rtl/>
        </w:rPr>
        <w:t xml:space="preserve"> (18.05.2021) </w:t>
      </w:r>
    </w:p>
    <w:p w14:paraId="5ADBFC17" w14:textId="77777777" w:rsidR="00E64302" w:rsidRDefault="00E64302">
      <w:pPr>
        <w:spacing w:line="276" w:lineRule="auto"/>
        <w:jc w:val="left"/>
      </w:pPr>
    </w:p>
    <w:sectPr w:rsidR="00E64302" w:rsidSect="00906EBB">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D7CE102"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362AF1">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906EBB">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5C8269E" w14:textId="77777777" w:rsidR="00375999" w:rsidRDefault="00375999" w:rsidP="00375999">
      <w:pPr>
        <w:pStyle w:val="a4"/>
        <w:rPr>
          <w:rtl/>
        </w:rPr>
      </w:pPr>
      <w:r>
        <w:rPr>
          <w:rStyle w:val="a5"/>
        </w:rPr>
        <w:footnoteRef/>
      </w:r>
      <w:r>
        <w:rPr>
          <w:rtl/>
        </w:rPr>
        <w:t xml:space="preserve"> </w:t>
      </w:r>
      <w:r>
        <w:rPr>
          <w:rFonts w:hint="cs"/>
          <w:rtl/>
        </w:rPr>
        <w:t>ס"ח התשס"א, עמ' 183.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D1F7D"/>
    <w:rsid w:val="00102B6B"/>
    <w:rsid w:val="00104674"/>
    <w:rsid w:val="001052D4"/>
    <w:rsid w:val="0010644B"/>
    <w:rsid w:val="001165C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2AF1"/>
    <w:rsid w:val="0036422C"/>
    <w:rsid w:val="003710F6"/>
    <w:rsid w:val="00375999"/>
    <w:rsid w:val="00386E88"/>
    <w:rsid w:val="00396585"/>
    <w:rsid w:val="003D6E38"/>
    <w:rsid w:val="003D74A0"/>
    <w:rsid w:val="004033D8"/>
    <w:rsid w:val="004073F0"/>
    <w:rsid w:val="00412A7D"/>
    <w:rsid w:val="00416B4D"/>
    <w:rsid w:val="00417CFC"/>
    <w:rsid w:val="00487191"/>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06EBB"/>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8702A"/>
    <w:rsid w:val="00C9176A"/>
    <w:rsid w:val="00CF1AA2"/>
    <w:rsid w:val="00D142D3"/>
    <w:rsid w:val="00D17774"/>
    <w:rsid w:val="00D63620"/>
    <w:rsid w:val="00D8410D"/>
    <w:rsid w:val="00D867D7"/>
    <w:rsid w:val="00DB7060"/>
    <w:rsid w:val="00DD3A07"/>
    <w:rsid w:val="00DE3153"/>
    <w:rsid w:val="00E06736"/>
    <w:rsid w:val="00E13C27"/>
    <w:rsid w:val="00E33BBD"/>
    <w:rsid w:val="00E374F2"/>
    <w:rsid w:val="00E45103"/>
    <w:rsid w:val="00E55A60"/>
    <w:rsid w:val="00E62778"/>
    <w:rsid w:val="00E635A2"/>
    <w:rsid w:val="00E63D38"/>
    <w:rsid w:val="00E64302"/>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C5AF6F2-5B02-4AA2-8C04-2870E599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EB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906EB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906EB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906EB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906EBB"/>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906EBB"/>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906EB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906EBB"/>
    <w:rPr>
      <w:sz w:val="36"/>
      <w:szCs w:val="52"/>
    </w:rPr>
  </w:style>
  <w:style w:type="paragraph" w:customStyle="1" w:styleId="Cover3-Haknesset">
    <w:name w:val="Cover 3-Haknesset"/>
    <w:basedOn w:val="Cover1-Reshumot"/>
    <w:rsid w:val="00906EBB"/>
    <w:rPr>
      <w:b/>
      <w:bCs/>
      <w:spacing w:val="60"/>
    </w:rPr>
  </w:style>
  <w:style w:type="paragraph" w:customStyle="1" w:styleId="Cover4-Date">
    <w:name w:val="Cover 4-Date"/>
    <w:basedOn w:val="a"/>
    <w:rsid w:val="00906EB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906EBB"/>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906EB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906EBB"/>
    <w:pPr>
      <w:spacing w:before="120" w:after="120"/>
    </w:pPr>
    <w:rPr>
      <w:color w:val="FF0000"/>
      <w:w w:val="80"/>
    </w:rPr>
  </w:style>
  <w:style w:type="paragraph" w:styleId="a3">
    <w:name w:val="endnote text"/>
    <w:basedOn w:val="a"/>
    <w:semiHidden/>
    <w:rsid w:val="00906EBB"/>
    <w:pPr>
      <w:ind w:left="227" w:hanging="227"/>
    </w:pPr>
    <w:rPr>
      <w:sz w:val="14"/>
      <w:szCs w:val="22"/>
    </w:rPr>
  </w:style>
  <w:style w:type="paragraph" w:customStyle="1" w:styleId="TableText">
    <w:name w:val="Table Text"/>
    <w:basedOn w:val="a"/>
    <w:rsid w:val="00906EB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906EBB"/>
    <w:pPr>
      <w:outlineLvl w:val="2"/>
    </w:pPr>
  </w:style>
  <w:style w:type="paragraph" w:customStyle="1" w:styleId="TableBlock">
    <w:name w:val="Table Block"/>
    <w:basedOn w:val="TableText"/>
    <w:rsid w:val="00906EBB"/>
    <w:pPr>
      <w:jc w:val="both"/>
    </w:pPr>
  </w:style>
  <w:style w:type="paragraph" w:customStyle="1" w:styleId="TableHead">
    <w:name w:val="Table Head"/>
    <w:basedOn w:val="TableText"/>
    <w:rsid w:val="00906EBB"/>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06EBB"/>
    <w:pPr>
      <w:outlineLvl w:val="9"/>
    </w:pPr>
  </w:style>
  <w:style w:type="paragraph" w:customStyle="1" w:styleId="Hesber">
    <w:name w:val="Hesber"/>
    <w:basedOn w:val="a"/>
    <w:rsid w:val="00906EBB"/>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906EBB"/>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906EBB"/>
    <w:rPr>
      <w:vertAlign w:val="superscript"/>
    </w:rPr>
  </w:style>
  <w:style w:type="paragraph" w:customStyle="1" w:styleId="HesberHeading">
    <w:name w:val="Hesber Heading"/>
    <w:basedOn w:val="Hesber"/>
    <w:rsid w:val="00906EBB"/>
    <w:pPr>
      <w:tabs>
        <w:tab w:val="left" w:pos="624"/>
        <w:tab w:val="left" w:pos="1247"/>
      </w:tabs>
    </w:pPr>
    <w:rPr>
      <w:b/>
      <w:bCs/>
    </w:rPr>
  </w:style>
  <w:style w:type="paragraph" w:customStyle="1" w:styleId="HesberWriters">
    <w:name w:val="Hesber Writers"/>
    <w:basedOn w:val="Hesber"/>
    <w:rsid w:val="00906EBB"/>
    <w:pPr>
      <w:spacing w:before="120" w:after="120"/>
      <w:ind w:left="1418"/>
      <w:jc w:val="right"/>
    </w:pPr>
    <w:rPr>
      <w:b/>
      <w:bCs/>
    </w:rPr>
  </w:style>
  <w:style w:type="paragraph" w:customStyle="1" w:styleId="Hesber1st">
    <w:name w:val="Hesber 1st"/>
    <w:basedOn w:val="Hesber"/>
    <w:rsid w:val="00906EBB"/>
    <w:pPr>
      <w:tabs>
        <w:tab w:val="left" w:pos="680"/>
        <w:tab w:val="left" w:pos="1020"/>
      </w:tabs>
      <w:ind w:firstLine="0"/>
    </w:pPr>
  </w:style>
  <w:style w:type="character" w:styleId="a6">
    <w:name w:val="endnote reference"/>
    <w:basedOn w:val="a0"/>
    <w:semiHidden/>
    <w:rsid w:val="00906EBB"/>
    <w:rPr>
      <w:vertAlign w:val="superscript"/>
    </w:rPr>
  </w:style>
  <w:style w:type="paragraph" w:customStyle="1" w:styleId="TableBlockOutdent">
    <w:name w:val="Table BlockOutdent"/>
    <w:basedOn w:val="TableBlock"/>
    <w:rsid w:val="00906EBB"/>
    <w:pPr>
      <w:ind w:left="624" w:hanging="624"/>
    </w:pPr>
  </w:style>
  <w:style w:type="paragraph" w:styleId="a7">
    <w:name w:val="header"/>
    <w:basedOn w:val="a"/>
    <w:rsid w:val="00906EBB"/>
    <w:pPr>
      <w:tabs>
        <w:tab w:val="center" w:pos="4153"/>
        <w:tab w:val="right" w:pos="8306"/>
      </w:tabs>
    </w:pPr>
  </w:style>
  <w:style w:type="paragraph" w:styleId="a8">
    <w:name w:val="footer"/>
    <w:basedOn w:val="a"/>
    <w:rsid w:val="00906EBB"/>
    <w:pPr>
      <w:tabs>
        <w:tab w:val="center" w:pos="4153"/>
        <w:tab w:val="right" w:pos="8306"/>
      </w:tabs>
    </w:pPr>
  </w:style>
  <w:style w:type="paragraph" w:customStyle="1" w:styleId="HeadDivreiHesber">
    <w:name w:val="Head DivreiHesber"/>
    <w:basedOn w:val="a"/>
    <w:rsid w:val="00906EBB"/>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906EBB"/>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906EBB"/>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906EBB"/>
    <w:rPr>
      <w:rFonts w:asciiTheme="majorHAnsi" w:eastAsiaTheme="majorEastAsia" w:hAnsiTheme="majorHAnsi" w:cs="David"/>
      <w:bCs/>
      <w:sz w:val="32"/>
      <w:szCs w:val="36"/>
    </w:rPr>
  </w:style>
  <w:style w:type="character" w:customStyle="1" w:styleId="20">
    <w:name w:val="כותרת 2 תו"/>
    <w:basedOn w:val="a0"/>
    <w:link w:val="2"/>
    <w:rsid w:val="00906EBB"/>
    <w:rPr>
      <w:rFonts w:asciiTheme="majorHAnsi" w:eastAsiaTheme="majorEastAsia" w:hAnsiTheme="majorHAnsi" w:cs="David"/>
      <w:bCs/>
      <w:sz w:val="26"/>
      <w:szCs w:val="36"/>
      <w:u w:val="single"/>
    </w:rPr>
  </w:style>
  <w:style w:type="character" w:customStyle="1" w:styleId="30">
    <w:name w:val="כותרת 3 תו"/>
    <w:basedOn w:val="a0"/>
    <w:link w:val="3"/>
    <w:rsid w:val="00906EBB"/>
    <w:rPr>
      <w:rFonts w:asciiTheme="majorHAnsi" w:eastAsiaTheme="majorEastAsia" w:hAnsiTheme="majorHAnsi" w:cs="David"/>
      <w:sz w:val="24"/>
      <w:szCs w:val="28"/>
      <w:u w:val="double"/>
    </w:rPr>
  </w:style>
  <w:style w:type="character" w:customStyle="1" w:styleId="40">
    <w:name w:val="כותרת 4 תו"/>
    <w:basedOn w:val="a0"/>
    <w:link w:val="4"/>
    <w:uiPriority w:val="9"/>
    <w:rsid w:val="00906EB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906EBB"/>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906EBB"/>
    <w:pPr>
      <w:widowControl/>
      <w:spacing w:before="120" w:after="120"/>
      <w:outlineLvl w:val="9"/>
    </w:pPr>
    <w:rPr>
      <w:rtl/>
      <w:cs/>
    </w:rPr>
  </w:style>
  <w:style w:type="paragraph" w:styleId="TOC1">
    <w:name w:val="toc 1"/>
    <w:basedOn w:val="a"/>
    <w:next w:val="a"/>
    <w:autoRedefine/>
    <w:uiPriority w:val="39"/>
    <w:unhideWhenUsed/>
    <w:rsid w:val="00906EBB"/>
    <w:pPr>
      <w:tabs>
        <w:tab w:val="right" w:leader="dot" w:pos="9629"/>
      </w:tabs>
      <w:spacing w:after="100"/>
    </w:pPr>
    <w:rPr>
      <w:bCs/>
      <w:szCs w:val="22"/>
    </w:rPr>
  </w:style>
  <w:style w:type="paragraph" w:styleId="TOC2">
    <w:name w:val="toc 2"/>
    <w:basedOn w:val="a"/>
    <w:next w:val="a"/>
    <w:uiPriority w:val="39"/>
    <w:unhideWhenUsed/>
    <w:rsid w:val="00906EBB"/>
    <w:pPr>
      <w:tabs>
        <w:tab w:val="right" w:leader="dot" w:pos="9628"/>
      </w:tabs>
      <w:spacing w:after="100"/>
    </w:pPr>
    <w:rPr>
      <w:szCs w:val="22"/>
    </w:rPr>
  </w:style>
  <w:style w:type="character" w:styleId="Hyperlink">
    <w:name w:val="Hyperlink"/>
    <w:basedOn w:val="a0"/>
    <w:uiPriority w:val="99"/>
    <w:unhideWhenUsed/>
    <w:rsid w:val="00906EBB"/>
    <w:rPr>
      <w:color w:val="0000FF" w:themeColor="hyperlink"/>
      <w:u w:val="single"/>
    </w:rPr>
  </w:style>
  <w:style w:type="paragraph" w:styleId="TOC3">
    <w:name w:val="toc 3"/>
    <w:basedOn w:val="a"/>
    <w:next w:val="a"/>
    <w:uiPriority w:val="39"/>
    <w:unhideWhenUsed/>
    <w:rsid w:val="00906EBB"/>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906EB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906EBB"/>
    <w:pPr>
      <w:tabs>
        <w:tab w:val="right" w:leader="dot" w:pos="9628"/>
      </w:tabs>
      <w:spacing w:after="100"/>
      <w:ind w:left="567"/>
    </w:pPr>
    <w:rPr>
      <w:szCs w:val="22"/>
    </w:rPr>
  </w:style>
  <w:style w:type="paragraph" w:styleId="TOC6">
    <w:name w:val="toc 6"/>
    <w:basedOn w:val="a"/>
    <w:next w:val="a"/>
    <w:autoRedefine/>
    <w:semiHidden/>
    <w:unhideWhenUsed/>
    <w:rsid w:val="00906EBB"/>
    <w:pPr>
      <w:spacing w:after="100"/>
      <w:ind w:left="850"/>
    </w:pPr>
  </w:style>
  <w:style w:type="paragraph" w:styleId="TOC7">
    <w:name w:val="toc 7"/>
    <w:basedOn w:val="a"/>
    <w:next w:val="a"/>
    <w:autoRedefine/>
    <w:semiHidden/>
    <w:unhideWhenUsed/>
    <w:rsid w:val="00906EBB"/>
    <w:pPr>
      <w:spacing w:after="100"/>
      <w:ind w:left="1020"/>
    </w:pPr>
  </w:style>
  <w:style w:type="paragraph" w:styleId="TOC8">
    <w:name w:val="toc 8"/>
    <w:basedOn w:val="a"/>
    <w:next w:val="a"/>
    <w:autoRedefine/>
    <w:semiHidden/>
    <w:unhideWhenUsed/>
    <w:rsid w:val="00906EBB"/>
    <w:pPr>
      <w:spacing w:after="100"/>
      <w:ind w:left="1190"/>
    </w:pPr>
  </w:style>
  <w:style w:type="paragraph" w:styleId="TOC9">
    <w:name w:val="toc 9"/>
    <w:basedOn w:val="a"/>
    <w:next w:val="a"/>
    <w:autoRedefine/>
    <w:semiHidden/>
    <w:unhideWhenUsed/>
    <w:rsid w:val="00906EBB"/>
    <w:pPr>
      <w:spacing w:after="100"/>
      <w:ind w:left="1360"/>
    </w:pPr>
  </w:style>
  <w:style w:type="paragraph" w:customStyle="1" w:styleId="TableHead2">
    <w:name w:val="Table Head2"/>
    <w:basedOn w:val="TableHead"/>
    <w:qFormat/>
    <w:rsid w:val="00906EBB"/>
    <w:pPr>
      <w:outlineLvl w:val="9"/>
    </w:pPr>
  </w:style>
  <w:style w:type="paragraph" w:customStyle="1" w:styleId="TableSideHeading2">
    <w:name w:val="Table SideHeading2"/>
    <w:basedOn w:val="TableSideHeading"/>
    <w:autoRedefine/>
    <w:qFormat/>
    <w:rsid w:val="00906EBB"/>
    <w:pPr>
      <w:keepLines w:val="0"/>
      <w:outlineLvl w:val="9"/>
    </w:pPr>
  </w:style>
  <w:style w:type="paragraph" w:customStyle="1" w:styleId="0">
    <w:name w:val="סגנון שורה ראשונה:  0  ס''מ"/>
    <w:basedOn w:val="2"/>
    <w:rsid w:val="00906EBB"/>
    <w:rPr>
      <w:rFonts w:eastAsia="Times New Roman"/>
    </w:rPr>
  </w:style>
  <w:style w:type="paragraph" w:styleId="ae">
    <w:name w:val="List Paragraph"/>
    <w:basedOn w:val="a"/>
    <w:uiPriority w:val="34"/>
    <w:qFormat/>
    <w:rsid w:val="00906EBB"/>
    <w:pPr>
      <w:widowControl/>
      <w:spacing w:line="259" w:lineRule="auto"/>
    </w:pPr>
    <w:rPr>
      <w:rFonts w:asciiTheme="minorHAnsi" w:hAnsiTheme="minorHAnsi"/>
      <w:sz w:val="22"/>
    </w:rPr>
  </w:style>
  <w:style w:type="table" w:styleId="af">
    <w:name w:val="Table Grid"/>
    <w:basedOn w:val="a1"/>
    <w:rsid w:val="0090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906E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906E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906EBB"/>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906EBB"/>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A0E20-AAF9-4F8A-814E-6CBD0D31A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243E203-991E-480F-9ACB-28FF4CA6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678</Words>
  <Characters>3391</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11</cp:revision>
  <cp:lastPrinted>2013-07-04T08:25:00Z</cp:lastPrinted>
  <dcterms:created xsi:type="dcterms:W3CDTF">2015-04-20T09:58:00Z</dcterms:created>
  <dcterms:modified xsi:type="dcterms:W3CDTF">2021-05-12T09:24:00Z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2157265</vt:r8>
  </property>
</Properties>
</file>