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5A2" w:rsidR="002C2E29" w:rsidP="00E635A2" w:rsidRDefault="004033D8" w14:paraId="7F6961A1" w14:textId="77777777">
      <w:pPr>
        <w:jc w:val="right"/>
        <w:rPr>
          <w:rFonts w:cs="David"/>
          <w:b/>
          <w:bCs/>
          <w:sz w:val="20"/>
          <w:szCs w:val="20"/>
        </w:rPr>
      </w:pPr>
      <w:r w:rsidRPr="00E635A2">
        <w:rPr>
          <w:rFonts w:hint="cs" w:cs="David"/>
          <w:sz w:val="20"/>
          <w:szCs w:val="20"/>
          <w:rtl/>
        </w:rPr>
        <w:t xml:space="preserve">מספר פנימי: </w:t>
      </w:r>
      <w:bookmarkStart w:name="LGS_Internal_ID" w:id="0"/>
      <w:r>
        <w:rPr>
          <w:rFonts w:hint="cs" w:cs="David"/>
          <w:sz w:val="20"/>
          <w:szCs w:val="20"/>
          <w:rtl/>
        </w:rPr>
        <w:t>2157431</w:t>
      </w:r>
      <w:bookmarkEnd w:id="0"/>
    </w:p>
    <w:p w:rsidRPr="00DB7060" w:rsidR="00E13C27" w:rsidP="00A443CF" w:rsidRDefault="00E13C27" w14:paraId="7F6961A2" w14:textId="53D639AE">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וארבע</w:t>
      </w:r>
      <w:bookmarkEnd w:id="1"/>
    </w:p>
    <w:p w:rsidRPr="00F67051" w:rsidR="00E13C27" w:rsidP="00E13C27" w:rsidRDefault="00E13C27" w14:paraId="7F6961A3" w14:textId="77777777">
      <w:pPr>
        <w:rPr>
          <w:rFonts w:cs="David"/>
          <w:b/>
          <w:bCs/>
          <w:sz w:val="26"/>
          <w:szCs w:val="26"/>
          <w:rtl/>
        </w:rPr>
      </w:pPr>
    </w:p>
    <w:p w:rsidR="00E13C27" w:rsidP="00930EFE" w:rsidRDefault="008F6665" w14:paraId="7F6961A6" w14:textId="77777777">
      <w:pPr>
        <w:pStyle w:val="David"/>
        <w:spacing w:line="360" w:lineRule="auto"/>
        <w:ind w:left="3544"/>
        <w:rPr>
          <w:b/>
          <w:bCs/>
          <w:rtl/>
        </w:rPr>
      </w:pPr>
      <w:bookmarkStart w:name="LGS_Initiators_List" w:id="2"/>
      <w:r>
        <w:rPr>
          <w:b/>
          <w:bCs/>
          <w:rtl/>
        </w:rPr>
        <w:t>יוזם:</w:t>
      </w:r>
      <w:r>
        <w:tab/>
      </w:r>
      <w:r>
        <w:rPr>
          <w:b/>
          <w:bCs/>
          <w:rtl/>
        </w:rPr>
        <w:t xml:space="preserve">      חבר הכנסת</w:t>
      </w:r>
      <w:bookmarkEnd w:id="2"/>
      <w:r w:rsidRPr="00F67051" w:rsidR="00B35784">
        <w:rPr>
          <w:b/>
          <w:bCs/>
        </w:rPr>
        <w:tab/>
      </w:r>
      <w:bookmarkStart w:name="LGS_PM_Names" w:id="3"/>
      <w:r>
        <w:rPr>
          <w:rFonts w:hint="cs"/>
          <w:b/>
          <w:bCs/>
          <w:rtl/>
        </w:rPr>
        <w:t>מיקי לוי</w:t>
      </w:r>
      <w:bookmarkEnd w:id="3"/>
    </w:p>
    <w:p w:rsidRPr="00CF1AA2" w:rsidR="00E13C27" w:rsidP="0036422C" w:rsidRDefault="007D585A" w14:paraId="7F6961AA" w14:textId="39F9D96B">
      <w:pPr>
        <w:pStyle w:val="David"/>
        <w:spacing w:before="0" w:line="360" w:lineRule="auto"/>
        <w:ind w:left="3544"/>
        <w:rPr>
          <w:b/>
          <w:bCs/>
          <w:sz w:val="16"/>
          <w:szCs w:val="16"/>
          <w:rtl/>
        </w:rPr>
      </w:pPr>
      <w:bookmarkStart w:name="LGS_Join_List" w:id="4"/>
      <w:r>
        <w:rPr>
          <w:rtl/>
        </w:rPr>
        <w:t xml:space="preserve"> </w:t>
      </w:r>
      <w:bookmarkEnd w:id="4"/>
      <w:r w:rsidRPr="00CF1AA2" w:rsidR="002200A1">
        <w:rPr>
          <w:rFonts w:hint="cs"/>
          <w:rtl/>
        </w:rPr>
        <w:tab/>
      </w:r>
      <w:bookmarkStart w:name="LGS_PM_NamesJoin" w:id="5"/>
      <w:r>
        <w:rPr>
          <w:rFonts w:hint="cs"/>
          <w:rtl/>
        </w:rPr>
        <w:t xml:space="preserve"> </w:t>
      </w:r>
      <w:bookmarkEnd w:id="5"/>
    </w:p>
    <w:p w:rsidRPr="00904591" w:rsidR="00904591" w:rsidP="0036422C" w:rsidRDefault="00266D86" w14:paraId="34DB4103" w14:textId="77777777">
      <w:pPr>
        <w:pStyle w:val="David"/>
        <w:spacing w:before="0" w:line="360" w:lineRule="auto"/>
        <w:ind w:left="3544"/>
        <w:rPr>
          <w:sz w:val="4"/>
          <w:szCs w:val="4"/>
          <w:rtl/>
        </w:rPr>
      </w:pPr>
      <w:r>
        <w:t>____</w:t>
      </w:r>
      <w:r w:rsidR="00E374F2">
        <w:t>__</w:t>
      </w:r>
      <w:r>
        <w:t>________________________________________</w:t>
      </w:r>
      <w:r w:rsidRPr="00E06736" w:rsidR="00E06736">
        <w:tab/>
      </w:r>
      <w:r w:rsidRPr="00E06736" w:rsidR="00E13C27">
        <w:rPr>
          <w:rFonts w:hint="cs"/>
          <w:rtl/>
        </w:rPr>
        <w:tab/>
      </w:r>
      <w:r w:rsidRPr="00E06736" w:rsidR="00E13C27">
        <w:rPr>
          <w:rFonts w:hint="cs"/>
          <w:rtl/>
        </w:rPr>
        <w:tab/>
      </w:r>
      <w:r w:rsidRPr="00E06736" w:rsidR="00E13C27">
        <w:rPr>
          <w:rFonts w:hint="cs"/>
          <w:rtl/>
        </w:rPr>
        <w:tab/>
      </w:r>
      <w:r w:rsidR="00904591">
        <w:t xml:space="preserve">           </w:t>
      </w:r>
    </w:p>
    <w:p w:rsidRPr="00E06736" w:rsidR="00E13C27" w:rsidP="00904591" w:rsidRDefault="00904591" w14:paraId="7F6961AB" w14:textId="256138AA">
      <w:pPr>
        <w:pStyle w:val="David"/>
        <w:spacing w:before="0" w:line="240" w:lineRule="auto"/>
        <w:ind w:left="3544"/>
        <w:rPr>
          <w:rtl/>
        </w:rPr>
      </w:pPr>
      <w:r>
        <w:t xml:space="preserve">                                            </w:t>
      </w:r>
      <w:r w:rsidR="008F1308">
        <w:t xml:space="preserve"> </w:t>
      </w:r>
      <w:bookmarkStart w:name="Private_Number" w:id="6"/>
      <w:r xmlns:w="http://schemas.openxmlformats.org/wordprocessingml/2006/main">
        <w:rPr xmlns:w="http://schemas.openxmlformats.org/wordprocessingml/2006/main">
          <w:rFonts w:hint="cs"/>
          <w:rtl/>
        </w:rPr>
        <w:t xml:space="preserve">פ/664/24</w:t>
      </w:r>
      <w:bookmarkEnd w:id="6"/>
    </w:p>
    <w:p w:rsidR="00E13C27" w:rsidP="00E13C27" w:rsidRDefault="00E13C27" w14:paraId="7F6961AC" w14:textId="77777777">
      <w:pPr>
        <w:spacing w:before="0" w:line="360" w:lineRule="auto"/>
        <w:ind w:left="2880" w:firstLine="720"/>
        <w:rPr>
          <w:rFonts w:cs="David"/>
          <w:sz w:val="26"/>
          <w:szCs w:val="26"/>
          <w:rtl/>
        </w:rPr>
      </w:pPr>
    </w:p>
    <w:p w:rsidRPr="00F67051" w:rsidR="00E13C27" w:rsidP="009B19EB" w:rsidRDefault="00A443CF" w14:paraId="7F6961AD" w14:textId="7666B4B0">
      <w:pPr>
        <w:pStyle w:val="HeadHatzaotHok"/>
        <w:rPr>
          <w:rtl/>
        </w:rPr>
      </w:pPr>
      <w:bookmarkStart w:name="LGS_Subject" w:id="7"/>
      <w:r xmlns:w="http://schemas.openxmlformats.org/wordprocessingml/2006/main">
        <w:rPr xmlns:w="http://schemas.openxmlformats.org/wordprocessingml/2006/main">
          <w:rFonts w:hint="cs"/>
          <w:rtl/>
        </w:rPr>
        <w:t xml:space="preserve">הצעת חוק מס ערך מוסף (תיקון – מועד הוצאת חשבונית מס), התשפ"א–2021</w:t>
      </w:r>
      <w:bookmarkEnd w:id="7"/>
    </w:p>
    <w:p w:rsidR="00E13C27" w:rsidP="0021633A" w:rsidRDefault="00E13C27" w14:paraId="7F6961AE" w14:textId="77777777">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624D27" w:rsidTr="00BA7D35" w14:paraId="1BE26B15" w14:textId="77777777">
        <w:trPr>
          <w:cantSplit/>
          <w:trHeight w:val="60"/>
        </w:trPr>
        <w:tc>
          <w:tcPr>
            <w:tcW w:w="1871" w:type="dxa"/>
          </w:tcPr>
          <w:p w:rsidR="00624D27" w:rsidP="00BA7D35" w:rsidRDefault="00624D27" w14:paraId="043AB074" w14:textId="77777777">
            <w:pPr>
              <w:pStyle w:val="TableSideHeading"/>
              <w:keepLines w:val="0"/>
            </w:pPr>
            <w:r>
              <w:rPr>
                <w:rFonts w:hint="cs"/>
                <w:rtl/>
              </w:rPr>
              <w:t>תיקון סעיף 47</w:t>
            </w:r>
          </w:p>
        </w:tc>
        <w:tc>
          <w:tcPr>
            <w:tcW w:w="624" w:type="dxa"/>
          </w:tcPr>
          <w:p w:rsidR="00624D27" w:rsidP="00BA7D35" w:rsidRDefault="00624D27" w14:paraId="5A8FFDF9" w14:textId="77777777">
            <w:pPr>
              <w:pStyle w:val="TableText"/>
              <w:keepLines w:val="0"/>
            </w:pPr>
            <w:r>
              <w:rPr>
                <w:rFonts w:hint="cs"/>
                <w:rtl/>
              </w:rPr>
              <w:t>1.</w:t>
            </w:r>
          </w:p>
        </w:tc>
        <w:tc>
          <w:tcPr>
            <w:tcW w:w="7146" w:type="dxa"/>
          </w:tcPr>
          <w:p w:rsidRPr="00C34DE2" w:rsidR="00624D27" w:rsidP="00BA7D35" w:rsidRDefault="00624D27" w14:paraId="610F1D43" w14:textId="77777777">
            <w:pPr>
              <w:pStyle w:val="TableBlock"/>
              <w:keepLines w:val="0"/>
            </w:pPr>
            <w:r>
              <w:rPr>
                <w:rFonts w:hint="cs"/>
                <w:rtl/>
              </w:rPr>
              <w:t>בחוק מס ערך מוסף, התשל''ו</w:t>
            </w:r>
            <w:r>
              <w:rPr>
                <w:rFonts w:hint="eastAsia"/>
                <w:rtl/>
              </w:rPr>
              <w:t>–</w:t>
            </w:r>
            <w:r>
              <w:rPr>
                <w:rFonts w:hint="cs"/>
                <w:rtl/>
              </w:rPr>
              <w:t>1975</w:t>
            </w:r>
            <w:r>
              <w:rPr>
                <w:rStyle w:val="a5"/>
                <w:rtl/>
              </w:rPr>
              <w:footnoteReference w:id="2"/>
            </w:r>
            <w:r>
              <w:rPr>
                <w:rFonts w:hint="cs"/>
                <w:rtl/>
              </w:rPr>
              <w:t xml:space="preserve"> (להלן </w:t>
            </w:r>
            <w:r>
              <w:rPr>
                <w:rFonts w:hint="eastAsia"/>
                <w:rtl/>
              </w:rPr>
              <w:t>–</w:t>
            </w:r>
            <w:r>
              <w:rPr>
                <w:rFonts w:hint="cs"/>
                <w:rtl/>
              </w:rPr>
              <w:t xml:space="preserve"> החוק העיקרי), בסעיף 47, אחרי</w:t>
            </w:r>
            <w:r w:rsidRPr="00013EB8">
              <w:rPr>
                <w:rtl/>
              </w:rPr>
              <w:t xml:space="preserve"> סעיף</w:t>
            </w:r>
            <w:r>
              <w:rPr>
                <w:rFonts w:hint="cs"/>
                <w:rtl/>
              </w:rPr>
              <w:t xml:space="preserve"> קטן</w:t>
            </w:r>
            <w:r w:rsidRPr="00013EB8">
              <w:rPr>
                <w:rtl/>
              </w:rPr>
              <w:t xml:space="preserve"> (א1) יבוא</w:t>
            </w:r>
            <w:r>
              <w:rPr>
                <w:rFonts w:hint="cs"/>
                <w:rtl/>
              </w:rPr>
              <w:t>:</w:t>
            </w:r>
            <w:r w:rsidRPr="00013EB8">
              <w:rPr>
                <w:rtl/>
              </w:rPr>
              <w:t xml:space="preserve"> </w:t>
            </w:r>
          </w:p>
        </w:tc>
      </w:tr>
      <w:tr w:rsidR="00624D27" w:rsidTr="00BA7D35" w14:paraId="514564EB" w14:textId="77777777">
        <w:trPr>
          <w:cantSplit/>
          <w:trHeight w:val="60"/>
        </w:trPr>
        <w:tc>
          <w:tcPr>
            <w:tcW w:w="1871" w:type="dxa"/>
          </w:tcPr>
          <w:p w:rsidR="00624D27" w:rsidP="00BA7D35" w:rsidRDefault="00624D27" w14:paraId="5832D301" w14:textId="77777777">
            <w:pPr>
              <w:pStyle w:val="TableSideHeading"/>
              <w:keepLines w:val="0"/>
              <w:rPr>
                <w:rtl/>
              </w:rPr>
            </w:pPr>
          </w:p>
        </w:tc>
        <w:tc>
          <w:tcPr>
            <w:tcW w:w="624" w:type="dxa"/>
          </w:tcPr>
          <w:p w:rsidR="00624D27" w:rsidP="00BA7D35" w:rsidRDefault="00624D27" w14:paraId="30D5A70E" w14:textId="77777777">
            <w:pPr>
              <w:pStyle w:val="TableText"/>
            </w:pPr>
          </w:p>
        </w:tc>
        <w:tc>
          <w:tcPr>
            <w:tcW w:w="7146" w:type="dxa"/>
          </w:tcPr>
          <w:p w:rsidRPr="00013EB8" w:rsidR="00624D27" w:rsidP="00BA7D35" w:rsidRDefault="00624D27" w14:paraId="0F7687D3" w14:textId="77777777">
            <w:pPr>
              <w:pStyle w:val="TableBlock"/>
              <w:keepLines w:val="0"/>
              <w:rPr>
                <w:rtl/>
              </w:rPr>
            </w:pPr>
            <w:r>
              <w:rPr>
                <w:rFonts w:hint="cs"/>
                <w:rtl/>
              </w:rPr>
              <w:t>"(א2)</w:t>
            </w:r>
            <w:r>
              <w:rPr>
                <w:rtl/>
              </w:rPr>
              <w:tab/>
            </w:r>
            <w:r w:rsidRPr="00013EB8">
              <w:rPr>
                <w:rtl/>
              </w:rPr>
              <w:t xml:space="preserve">דרש הקונה </w:t>
            </w:r>
            <w:r>
              <w:rPr>
                <w:rFonts w:hint="cs"/>
                <w:rtl/>
              </w:rPr>
              <w:t xml:space="preserve">שהוא עוסק מורשה </w:t>
            </w:r>
            <w:r w:rsidRPr="00013EB8">
              <w:rPr>
                <w:rtl/>
              </w:rPr>
              <w:t>חשבונית מס על אף האמור בסעיף קטן (א1), לא יוכל לנכות מהמס שהוא חייב בו את מס התשומות.</w:t>
            </w:r>
            <w:r>
              <w:rPr>
                <w:rFonts w:hint="cs"/>
                <w:rtl/>
              </w:rPr>
              <w:t>"</w:t>
            </w:r>
          </w:p>
        </w:tc>
      </w:tr>
      <w:tr w:rsidR="00624D27" w:rsidTr="00BA7D35" w14:paraId="6067FBE2" w14:textId="77777777">
        <w:trPr>
          <w:cantSplit/>
          <w:trHeight w:val="60"/>
        </w:trPr>
        <w:tc>
          <w:tcPr>
            <w:tcW w:w="1871" w:type="dxa"/>
          </w:tcPr>
          <w:p w:rsidR="00624D27" w:rsidP="00BA7D35" w:rsidRDefault="00624D27" w14:paraId="6E3D7F35" w14:textId="77777777">
            <w:pPr>
              <w:pStyle w:val="TableSideHeading"/>
              <w:keepLines w:val="0"/>
              <w:rPr>
                <w:rtl/>
              </w:rPr>
            </w:pPr>
            <w:r w:rsidRPr="00013EB8">
              <w:rPr>
                <w:rtl/>
              </w:rPr>
              <w:t>תיקון סעיף</w:t>
            </w:r>
            <w:r>
              <w:rPr>
                <w:rFonts w:hint="cs"/>
                <w:rtl/>
              </w:rPr>
              <w:t xml:space="preserve"> 117</w:t>
            </w:r>
          </w:p>
        </w:tc>
        <w:tc>
          <w:tcPr>
            <w:tcW w:w="624" w:type="dxa"/>
          </w:tcPr>
          <w:p w:rsidR="00624D27" w:rsidP="00BA7D35" w:rsidRDefault="00624D27" w14:paraId="48460D6A" w14:textId="77777777">
            <w:pPr>
              <w:pStyle w:val="TableText"/>
            </w:pPr>
            <w:r>
              <w:rPr>
                <w:rFonts w:hint="cs"/>
                <w:rtl/>
              </w:rPr>
              <w:t>2.</w:t>
            </w:r>
          </w:p>
        </w:tc>
        <w:tc>
          <w:tcPr>
            <w:tcW w:w="7146" w:type="dxa"/>
          </w:tcPr>
          <w:p w:rsidRPr="00013EB8" w:rsidR="00624D27" w:rsidP="00BA7D35" w:rsidRDefault="00624D27" w14:paraId="427D6A68" w14:textId="77777777">
            <w:pPr>
              <w:pStyle w:val="TableBlock"/>
              <w:keepLines w:val="0"/>
              <w:rPr>
                <w:rtl/>
              </w:rPr>
            </w:pPr>
            <w:r>
              <w:rPr>
                <w:rFonts w:hint="cs"/>
                <w:rtl/>
              </w:rPr>
              <w:t>בסעיף 117 לחוק העיקרי, אחרי סעיף קטן (ג) יבוא:</w:t>
            </w:r>
          </w:p>
        </w:tc>
      </w:tr>
      <w:tr w:rsidR="00624D27" w:rsidTr="00BA7D35" w14:paraId="1EDACC10" w14:textId="77777777">
        <w:trPr>
          <w:cantSplit/>
          <w:trHeight w:val="60"/>
        </w:trPr>
        <w:tc>
          <w:tcPr>
            <w:tcW w:w="1871" w:type="dxa"/>
          </w:tcPr>
          <w:p w:rsidRPr="00013EB8" w:rsidR="00624D27" w:rsidP="00BA7D35" w:rsidRDefault="00624D27" w14:paraId="103700B8" w14:textId="77777777">
            <w:pPr>
              <w:pStyle w:val="TableSideHeading"/>
              <w:keepLines w:val="0"/>
              <w:rPr>
                <w:rtl/>
              </w:rPr>
            </w:pPr>
          </w:p>
        </w:tc>
        <w:tc>
          <w:tcPr>
            <w:tcW w:w="624" w:type="dxa"/>
          </w:tcPr>
          <w:p w:rsidR="00624D27" w:rsidP="00BA7D35" w:rsidRDefault="00624D27" w14:paraId="292350BC" w14:textId="77777777">
            <w:pPr>
              <w:pStyle w:val="TableText"/>
              <w:rPr>
                <w:rtl/>
              </w:rPr>
            </w:pPr>
          </w:p>
        </w:tc>
        <w:tc>
          <w:tcPr>
            <w:tcW w:w="7146" w:type="dxa"/>
          </w:tcPr>
          <w:p w:rsidRPr="00013EB8" w:rsidR="00624D27" w:rsidP="00BA7D35" w:rsidRDefault="00624D27" w14:paraId="4ADD177C" w14:textId="77777777">
            <w:pPr>
              <w:pStyle w:val="TableBlock"/>
              <w:keepLines w:val="0"/>
              <w:rPr>
                <w:rtl/>
              </w:rPr>
            </w:pPr>
            <w:r>
              <w:rPr>
                <w:rFonts w:hint="cs"/>
                <w:rtl/>
              </w:rPr>
              <w:t>"(ד)</w:t>
            </w:r>
            <w:r>
              <w:rPr>
                <w:rtl/>
              </w:rPr>
              <w:tab/>
            </w:r>
            <w:r>
              <w:rPr>
                <w:rFonts w:hint="cs"/>
                <w:rtl/>
              </w:rPr>
              <w:t>קונה</w:t>
            </w:r>
            <w:r w:rsidRPr="00013EB8">
              <w:rPr>
                <w:rtl/>
              </w:rPr>
              <w:t xml:space="preserve"> שהפר הוראות סעיף 47(א1)</w:t>
            </w:r>
            <w:r>
              <w:rPr>
                <w:rtl/>
              </w:rPr>
              <w:t xml:space="preserve">, יוטל עליו קנס בגובה של </w:t>
            </w:r>
            <w:r w:rsidRPr="00F23AF1">
              <w:rPr>
                <w:rtl/>
              </w:rPr>
              <w:t>14,400</w:t>
            </w:r>
            <w:r>
              <w:rPr>
                <w:rFonts w:hint="cs"/>
                <w:rtl/>
              </w:rPr>
              <w:t xml:space="preserve"> </w:t>
            </w:r>
            <w:r w:rsidRPr="00013EB8">
              <w:rPr>
                <w:rtl/>
              </w:rPr>
              <w:t>שקלים</w:t>
            </w:r>
            <w:r>
              <w:rPr>
                <w:rFonts w:hint="cs"/>
                <w:rtl/>
              </w:rPr>
              <w:t xml:space="preserve"> חדשים</w:t>
            </w:r>
            <w:r w:rsidRPr="00013EB8">
              <w:rPr>
                <w:rtl/>
              </w:rPr>
              <w:t>.</w:t>
            </w:r>
            <w:r>
              <w:rPr>
                <w:rFonts w:hint="cs"/>
                <w:rtl/>
              </w:rPr>
              <w:t>"</w:t>
            </w:r>
          </w:p>
        </w:tc>
      </w:tr>
    </w:tbl>
    <w:p w:rsidR="002D1EE3" w:rsidP="002D1EE3" w:rsidRDefault="002D1EE3" w14:paraId="7F6961CA" w14:textId="77777777">
      <w:pPr>
        <w:pStyle w:val="HeadDivreiHesber"/>
        <w:rPr>
          <w:rtl/>
        </w:rPr>
      </w:pPr>
      <w:r w:rsidRPr="0027450A">
        <w:rPr>
          <w:rFonts w:hint="cs"/>
          <w:rtl/>
        </w:rPr>
        <w:t>דברי הסבר</w:t>
      </w:r>
    </w:p>
    <w:p w:rsidRPr="00624D27" w:rsidR="00624D27" w:rsidP="00624D27" w:rsidRDefault="00624D27" w14:paraId="2E48CA53" w14:textId="77777777">
      <w:pPr>
        <w:pStyle w:val="Hesber"/>
        <w:rPr>
          <w:rtl/>
        </w:rPr>
      </w:pPr>
      <w:r w:rsidRPr="00624D27">
        <w:rPr>
          <w:rtl/>
        </w:rPr>
        <w:t>בחוק מס ערך מוסף, התשל"ו–1975, נקבעו תנאים שנועדו להקל על עסקים קטנים בתשלומי המע"מ. תנאים אלה מאפשרים לעסקים קטנים להוציא חשבונית מס, ולשלם מע"מ רק לאחר קבלת התמורה עבור השירות או המוצר שסופק. כלומר, הלקוח אינו רשאי לדרוש מספק, המדווח על בסיס מזומן, להוציא לו חשבונית מס טרם העברת התשלום.</w:t>
      </w:r>
    </w:p>
    <w:p w:rsidRPr="00624D27" w:rsidR="00624D27" w:rsidP="00624D27" w:rsidRDefault="00624D27" w14:paraId="3986A7DF" w14:textId="77777777">
      <w:pPr>
        <w:pStyle w:val="Hesber"/>
        <w:rPr>
          <w:rtl/>
        </w:rPr>
      </w:pPr>
      <w:r w:rsidRPr="00624D27">
        <w:rPr>
          <w:rtl/>
        </w:rPr>
        <w:t xml:space="preserve">עם זאת, עסקים קטנים מתלוננים על כך שלקוח דורש מהם חשבונית מס עוד לפני העברת התשלום. </w:t>
      </w:r>
    </w:p>
    <w:p w:rsidRPr="00624D27" w:rsidR="00624D27" w:rsidP="00624D27" w:rsidRDefault="00624D27" w14:paraId="7DE2E80E" w14:textId="77777777">
      <w:pPr>
        <w:pStyle w:val="Hesber"/>
        <w:rPr>
          <w:rtl/>
        </w:rPr>
      </w:pPr>
      <w:r w:rsidRPr="00624D27">
        <w:rPr>
          <w:rtl/>
        </w:rPr>
        <w:t xml:space="preserve">לפיכך, בהצעת חוק זו מוצע לתקן את סעיף 47, ולאפשר ניכוי ממס רק לאחר התשלום. כלומר, חשבונית שלא שולמה לא יהיה ניתן להכיר בה כהוצאה. בנוסף, מוצע לקבוע קנס בגובה 14,400 שקלים חדשים שיוטל על עוסק שדרש חשבונית קודם לתשלום התמורה או חלקה, לפי העניין, אם המועד לחיוב במס בשל העסקה חל עם קבלת התמורה ועל הסכום שהתקבל. </w:t>
      </w:r>
    </w:p>
    <w:p w:rsidRPr="00624D27" w:rsidR="00624D27" w:rsidP="00624D27" w:rsidRDefault="00624D27" w14:paraId="04ED5D52" w14:textId="77777777">
      <w:pPr>
        <w:pStyle w:val="Hesber"/>
        <w:rPr>
          <w:rtl/>
        </w:rPr>
      </w:pPr>
      <w:r w:rsidRPr="00624D27">
        <w:rPr>
          <w:rtl/>
        </w:rPr>
        <w:t xml:space="preserve">או חלקה, לפי העניין, אם המועד לחיוב במס בשל העסקה חל עם קבלת התמורה ועל הסכום שהתקבל. </w:t>
      </w:r>
    </w:p>
    <w:p w:rsidR="00624D27" w:rsidP="00624D27" w:rsidRDefault="00624D27" w14:paraId="2121CC90" w14:textId="1AB0B593">
      <w:pPr>
        <w:pStyle w:val="Hesber"/>
        <w:rPr>
          <w:rtl/>
        </w:rPr>
      </w:pPr>
      <w:r w:rsidRPr="00624D27">
        <w:rPr>
          <w:rtl/>
        </w:rPr>
        <w:t>הצעות חוק זהות הונחו על שולחן הכנסת העשרים על ידי חבר הכנסת רועי פולקמן וקבוצת חברי הכנסת (פ/3580/20), ועל שולחן הכנסת העשרים ואחת על ידי חבר הכנסת רועי פולקמן (פ/325/21)</w:t>
      </w:r>
      <w:r w:rsidRPr="00624D27">
        <w:rPr>
          <w:rFonts w:hint="cs"/>
          <w:rtl/>
        </w:rPr>
        <w:t xml:space="preserve"> ועל שולחן הכנסת העשרים ושתיים על ידי חבר הכנסת מיקי לוי (פ/720/22) ועל ידי חברת הכנסת קרן ברק </w:t>
      </w:r>
      <w:r w:rsidRPr="00624D27">
        <w:rPr>
          <w:rFonts w:hint="cs"/>
          <w:rtl/>
        </w:rPr>
        <w:lastRenderedPageBreak/>
        <w:t>(פ/384/22), ועל שולחן הכנסת העשרים ושלוש על ידי חברת הכנסת קרן ברק (פ/467/23)</w:t>
      </w:r>
      <w:r>
        <w:rPr>
          <w:rFonts w:hint="cs"/>
          <w:rtl/>
        </w:rPr>
        <w:t xml:space="preserve"> ועל ידי חבר הכנסת מיקי לוי (פ/468/23)</w:t>
      </w:r>
      <w:r w:rsidRPr="00624D27">
        <w:rPr>
          <w:rFonts w:hint="cs"/>
          <w:rtl/>
        </w:rPr>
        <w:t>.</w:t>
      </w:r>
    </w:p>
    <w:p w:rsidRPr="00624D27" w:rsidR="009B19EB" w:rsidP="00624D27" w:rsidRDefault="009B19EB" w14:paraId="46AF4482" w14:textId="58C82AA7">
      <w:pPr>
        <w:pStyle w:val="Hesber"/>
        <w:rPr>
          <w:rtl/>
        </w:rPr>
      </w:pPr>
      <w:r>
        <w:rPr>
          <w:rFonts w:hint="cs"/>
          <w:rtl/>
        </w:rPr>
        <w:t xml:space="preserve">הצעה זהה </w:t>
      </w:r>
      <w:r w:rsidR="00BE0C45">
        <w:rPr>
          <w:rFonts w:hint="cs"/>
          <w:rtl/>
        </w:rPr>
        <w:t>לפ/467/23 ו</w:t>
      </w:r>
      <w:bookmarkStart w:name="_GoBack" w:id="8"/>
      <w:bookmarkEnd w:id="8"/>
      <w:r>
        <w:rPr>
          <w:rFonts w:hint="cs"/>
          <w:rtl/>
        </w:rPr>
        <w:t>לפ/468/23 ולפיכך לא נבדקה מחדש על ידי הלשכה המשפטית של הכנסת.</w:t>
      </w:r>
    </w:p>
    <w:p w:rsidR="00E13C27" w:rsidP="00E13C27" w:rsidRDefault="00E13C27" w14:paraId="7F6961CB" w14:textId="77777777">
      <w:pPr>
        <w:pStyle w:val="Hesber"/>
        <w:rPr>
          <w:rtl/>
        </w:rPr>
      </w:pPr>
    </w:p>
    <w:p>
      <w:pPr>
        <w:jc w:val="left"/>
        <w:spacing w:before="0" w:after="0" w:line="276" w:lineRule="auto"/>
      </w:pPr>
      <w:bookmarkStart w:name="selectedDocDateB" w:id="9"/>
      <w:bookmarkEnd w:id="9"/>
      <w:r/>
      <w:p>
        <w:pPr>
          <w:jc w:val="left"/>
          <w:spacing w:before="0" w:after="0" w:line="360" w:lineRule="auto"/>
        </w:pPr>
        <w:r>
          <w:rPr>
            <w:rtl/>
            <w:rFonts w:hint="cs" w:ascii="David" w:hAnsi="David" w:eastAsia="David" w:cs="David"/>
            <w:sz w:val="26"/>
            <w:szCs w:val="26"/>
          </w:rPr>
          <w:t>--------------------------------</w:t>
        </w:r>
      </w:p>
      <w:p>
        <w:pPr>
          <w:jc w:val="left"/>
          <w:spacing w:before="0" w:after="0" w:line="360" w:lineRule="auto"/>
        </w:pPr>
        <w:r>
          <w:rPr>
            <w:rtl/>
            <w:rFonts w:hint="cs" w:ascii="David" w:hAnsi="David" w:eastAsia="David" w:cs="David"/>
            <w:sz w:val="26"/>
            <w:szCs w:val="26"/>
          </w:rPr>
          <w:t>הוגשה ליו"ר הכנסת והסגנים</w:t>
        </w:r>
      </w:p>
      <w:p>
        <w:pPr>
          <w:jc w:val="left"/>
          <w:spacing w:before="0" w:after="0" w:line="360" w:lineRule="auto"/>
        </w:pPr>
        <w:r>
          <w:rPr>
            <w:rtl/>
            <w:rFonts w:hint="cs" w:ascii="David" w:hAnsi="David" w:eastAsia="David" w:cs="David"/>
            <w:sz w:val="26"/>
            <w:szCs w:val="26"/>
          </w:rPr>
          <w:t>והונחה על שולחן הכנסת ביום</w:t>
        </w:r>
      </w:p>
      <w:p>
        <w:pPr>
          <w:jc w:val="left"/>
          <w:spacing w:before="0" w:after="0" w:line="360" w:lineRule="auto"/>
        </w:pPr>
        <w:r>
          <w:rPr>
            <w:rtl/>
            <w:rFonts w:hint="cs" w:ascii="David" w:hAnsi="David" w:eastAsia="David" w:cs="David"/>
            <w:sz w:val="26"/>
            <w:szCs w:val="26"/>
          </w:rPr>
          <w:t xml:space="preserve">כ"ח באייר התשפ"א</w:t>
          <w:t xml:space="preserve"> (10.05.2021) </w:t>
        </w:r>
      </w:p>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BE0C45">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AD33763" w14:textId="77777777" w:rsidR="00624D27" w:rsidRDefault="00624D27" w:rsidP="00624D27">
      <w:pPr>
        <w:pStyle w:val="a4"/>
      </w:pPr>
      <w:r>
        <w:rPr>
          <w:rStyle w:val="a5"/>
        </w:rPr>
        <w:footnoteRef/>
      </w:r>
      <w:r>
        <w:rPr>
          <w:rtl/>
        </w:rPr>
        <w:t xml:space="preserve"> ס"ח התשל"ו, עמ' 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4D27"/>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B19EB"/>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E0C45"/>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D12FFD7-DF2A-420E-BBB0-0F8CE76F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F5792-099A-438F-8C54-7B04F16144EE}"/>
</file>

<file path=customXml/itemProps2.xml><?xml version="1.0" encoding="utf-8"?>
<ds:datastoreItem xmlns:ds="http://schemas.openxmlformats.org/officeDocument/2006/customXml" ds:itemID="{53CDC32B-DD97-493E-9196-3EF77D6F9C7D}"/>
</file>

<file path=customXml/itemProps3.xml><?xml version="1.0" encoding="utf-8"?>
<ds:datastoreItem xmlns:ds="http://schemas.openxmlformats.org/officeDocument/2006/customXml" ds:itemID="{88F4AFE3-9455-419C-8851-785A55F44517}"/>
</file>

<file path=customXml/itemProps4.xml><?xml version="1.0" encoding="utf-8"?>
<ds:datastoreItem xmlns:ds="http://schemas.openxmlformats.org/officeDocument/2006/customXml" ds:itemID="{7F6A5E86-326C-4DD1-BE80-563CB65EDF5B}"/>
</file>

<file path=docProps/app.xml><?xml version="1.0" encoding="utf-8"?>
<Properties xmlns="http://schemas.openxmlformats.org/officeDocument/2006/extended-properties" xmlns:vt="http://schemas.openxmlformats.org/officeDocument/2006/docPropsVTypes">
  <Template>Normal</Template>
  <TotalTime>23</TotalTime>
  <Pages>2</Pages>
  <Words>280</Words>
  <Characters>1597</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מאי לוי</cp:lastModifiedBy>
  <cp:revision>6</cp:revision>
  <cp:lastPrinted>2013-07-04T08:25:00Z</cp:lastPrinted>
  <dcterms:created xsi:type="dcterms:W3CDTF">2015-04-20T09:58:00Z</dcterms:created>
  <dcterms:modified xsi:type="dcterms:W3CDTF">2021-04-21T12:39:00Z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2157431</vt:r8>
  </property>
</Properties>
</file>