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2156092</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תמר זנדברג</w:t>
      </w:r>
      <w:bookmarkEnd w:id="3"/>
    </w:p>
    <w:p w:rsidRPr="00CF1AA2" w:rsidR="00E13C27" w:rsidP="0036422C" w:rsidRDefault="007D585A" w14:paraId="7F6961AA" w14:textId="39F9D96B">
      <w:pPr>
        <w:pStyle w:val="David"/>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049DE8F7">
      <w:pPr>
        <w:pStyle w:val="David"/>
        <w:spacing w:line="240" w:lineRule="auto"/>
        <w:ind w:left="3544"/>
        <w:rPr>
          <w:rtl/>
        </w:rPr>
      </w:pPr>
      <w:r>
        <w:t xml:space="preserve">                                            </w:t>
      </w:r>
      <w:r w:rsidR="008F1308">
        <w:t xml:space="preserve"> </w:t>
      </w:r>
      <w:bookmarkStart w:name="Private_Number" w:id="6"/>
      <w:r w:rsidR="00D84DB8">
        <w:rPr>
          <w:rtl/>
        </w:rPr>
        <w:tab/>
      </w:r>
      <w:r>
        <w:rPr>
          <w:rFonts w:hint="cs"/>
          <w:rtl/>
        </w:rPr>
        <w:t>פ/285/24</w:t>
      </w:r>
      <w:bookmarkEnd w:id="6"/>
    </w:p>
    <w:p w:rsidR="00E13C27" w:rsidP="00E13C27" w:rsidRDefault="00E13C27" w14:paraId="7F6961AC" w14:textId="77777777">
      <w:pPr>
        <w:ind w:left="2880" w:firstLine="720"/>
        <w:rPr>
          <w:sz w:val="26"/>
          <w:szCs w:val="26"/>
          <w:rtl/>
        </w:rPr>
      </w:pPr>
    </w:p>
    <w:p w:rsidRPr="00F67051" w:rsidR="00E13C27" w:rsidP="0021633A" w:rsidRDefault="00A443CF" w14:paraId="7F6961AD" w14:textId="77777777">
      <w:pPr>
        <w:pStyle w:val="HeadHatzaotHok"/>
        <w:rPr>
          <w:rtl/>
        </w:rPr>
      </w:pPr>
      <w:bookmarkStart w:name="LGS_Subject" w:id="7"/>
      <w:r xmlns:w="http://schemas.openxmlformats.org/wordprocessingml/2006/main">
        <w:rPr xmlns:w="http://schemas.openxmlformats.org/wordprocessingml/2006/main">
          <w:rFonts w:hint="cs"/>
          <w:rtl/>
        </w:rPr>
        <w:t xml:space="preserve">הצעת חוק לתיקון פקודת הסמים המסוכנים (הגדרת צמח הקנבוס, מדרוג עבירות ועונשים בסם קנבוס), התשפ"א–2021</w:t>
      </w:r>
      <w:bookmarkEnd w:id="7"/>
    </w:p>
    <w:p w:rsidR="00E13C27" w:rsidP="0021633A" w:rsidRDefault="00E13C27" w14:paraId="7F6961AE" w14:textId="77777777">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Pr="00C34DE2" w:rsidR="00351D20" w:rsidTr="00D84DB8" w14:paraId="6409FC97" w14:textId="77777777">
        <w:trPr>
          <w:cantSplit/>
        </w:trPr>
        <w:tc>
          <w:tcPr>
            <w:tcW w:w="1869" w:type="dxa"/>
          </w:tcPr>
          <w:p w:rsidR="00351D20" w:rsidP="00E76159" w:rsidRDefault="00351D20" w14:paraId="38102595" w14:textId="77777777">
            <w:pPr>
              <w:pStyle w:val="TableSideHeading"/>
              <w:keepLines w:val="0"/>
            </w:pPr>
            <w:r>
              <w:rPr>
                <w:rFonts w:hint="cs"/>
                <w:rtl/>
              </w:rPr>
              <w:t>תיקון סעיף 10</w:t>
            </w:r>
          </w:p>
        </w:tc>
        <w:tc>
          <w:tcPr>
            <w:tcW w:w="624" w:type="dxa"/>
          </w:tcPr>
          <w:p w:rsidR="00351D20" w:rsidP="00E76159" w:rsidRDefault="00351D20" w14:paraId="5E7E9A2C" w14:textId="77777777">
            <w:pPr>
              <w:pStyle w:val="TableText"/>
              <w:keepLines w:val="0"/>
            </w:pPr>
            <w:r>
              <w:rPr>
                <w:rFonts w:hint="cs"/>
                <w:rtl/>
              </w:rPr>
              <w:t>1.</w:t>
            </w:r>
          </w:p>
        </w:tc>
        <w:tc>
          <w:tcPr>
            <w:tcW w:w="7145" w:type="dxa"/>
            <w:gridSpan w:val="5"/>
          </w:tcPr>
          <w:p w:rsidRPr="00D84DB8" w:rsidR="00351D20" w:rsidP="00D84DB8" w:rsidRDefault="00351D20" w14:paraId="39ED6A0B" w14:textId="77777777">
            <w:pPr>
              <w:pStyle w:val="TableBlock"/>
            </w:pPr>
            <w:r w:rsidRPr="00D84DB8">
              <w:rPr>
                <w:rtl/>
              </w:rPr>
              <w:t>בפקודת הסמים המסוכנים [נוסח חדש], התשל"ג–1973</w:t>
            </w:r>
            <w:r w:rsidRPr="00D84DB8">
              <w:rPr>
                <w:vertAlign w:val="superscript"/>
                <w:rtl/>
              </w:rPr>
              <w:footnoteReference w:id="2"/>
            </w:r>
            <w:r w:rsidRPr="00D84DB8">
              <w:rPr>
                <w:rFonts w:hint="cs"/>
                <w:rtl/>
              </w:rPr>
              <w:t>, בסעיף 10, במקום הסיפה המתחילה במילים "ואם היו כלים" יבוא "ואולם לא יישא אדם באחריות פלילית אם היו הכלים לשימוש בצריכתו העצמית בלבד".</w:t>
            </w:r>
          </w:p>
        </w:tc>
      </w:tr>
      <w:tr w:rsidR="00351D20" w:rsidTr="00D84DB8" w14:paraId="3904E473" w14:textId="77777777">
        <w:trPr>
          <w:cantSplit/>
        </w:trPr>
        <w:tc>
          <w:tcPr>
            <w:tcW w:w="1869" w:type="dxa"/>
          </w:tcPr>
          <w:p w:rsidR="00351D20" w:rsidP="00E76159" w:rsidRDefault="00351D20" w14:paraId="6E2C0977" w14:textId="77777777">
            <w:pPr>
              <w:pStyle w:val="TableSideHeading"/>
              <w:keepLines w:val="0"/>
              <w:rPr>
                <w:rtl/>
              </w:rPr>
            </w:pPr>
            <w:r w:rsidRPr="008626C7">
              <w:rPr>
                <w:rtl/>
              </w:rPr>
              <w:t>ה</w:t>
            </w:r>
            <w:r>
              <w:rPr>
                <w:rFonts w:hint="cs"/>
                <w:rtl/>
              </w:rPr>
              <w:t>וספת</w:t>
            </w:r>
            <w:r w:rsidRPr="008626C7">
              <w:rPr>
                <w:rtl/>
              </w:rPr>
              <w:t xml:space="preserve"> פרק </w:t>
            </w:r>
            <w:r>
              <w:rPr>
                <w:rtl/>
              </w:rPr>
              <w:t>ג</w:t>
            </w:r>
            <w:r>
              <w:rPr>
                <w:rFonts w:hint="cs"/>
                <w:rtl/>
              </w:rPr>
              <w:t>'2</w:t>
            </w:r>
          </w:p>
        </w:tc>
        <w:tc>
          <w:tcPr>
            <w:tcW w:w="624" w:type="dxa"/>
          </w:tcPr>
          <w:p w:rsidR="00351D20" w:rsidP="00E76159" w:rsidRDefault="00351D20" w14:paraId="2A74078D" w14:textId="77777777">
            <w:pPr>
              <w:pStyle w:val="TableText"/>
              <w:rPr>
                <w:rtl/>
              </w:rPr>
            </w:pPr>
            <w:r>
              <w:rPr>
                <w:rFonts w:hint="cs"/>
                <w:rtl/>
              </w:rPr>
              <w:t>2.</w:t>
            </w:r>
          </w:p>
        </w:tc>
        <w:tc>
          <w:tcPr>
            <w:tcW w:w="7145" w:type="dxa"/>
            <w:gridSpan w:val="5"/>
          </w:tcPr>
          <w:p w:rsidRPr="00393170" w:rsidR="00351D20" w:rsidP="00CC1E83" w:rsidRDefault="00351D20" w14:paraId="405286A9" w14:textId="77777777">
            <w:pPr>
              <w:pStyle w:val="TableBlock"/>
              <w:rPr>
                <w:rtl/>
              </w:rPr>
            </w:pPr>
            <w:r>
              <w:rPr>
                <w:rFonts w:hint="cs"/>
                <w:rtl/>
              </w:rPr>
              <w:t>אחרי פרק ג'1</w:t>
            </w:r>
            <w:r w:rsidRPr="00393170">
              <w:rPr>
                <w:rtl/>
              </w:rPr>
              <w:t xml:space="preserve"> </w:t>
            </w:r>
            <w:r>
              <w:rPr>
                <w:rFonts w:hint="cs"/>
                <w:rtl/>
              </w:rPr>
              <w:t xml:space="preserve">לפקודה </w:t>
            </w:r>
            <w:r w:rsidRPr="00393170">
              <w:rPr>
                <w:rtl/>
              </w:rPr>
              <w:t>יבוא:</w:t>
            </w:r>
          </w:p>
        </w:tc>
      </w:tr>
      <w:tr w:rsidR="00351D20" w:rsidTr="00D84DB8" w14:paraId="7647E911" w14:textId="77777777">
        <w:trPr>
          <w:cantSplit/>
        </w:trPr>
        <w:tc>
          <w:tcPr>
            <w:tcW w:w="1869" w:type="dxa"/>
          </w:tcPr>
          <w:p w:rsidRPr="002C05F5" w:rsidR="00351D20" w:rsidP="00E76159" w:rsidRDefault="00351D20" w14:paraId="0BBCEE91" w14:textId="77777777">
            <w:pPr>
              <w:pStyle w:val="TableSideHeading"/>
              <w:rPr>
                <w:rtl/>
              </w:rPr>
            </w:pPr>
          </w:p>
        </w:tc>
        <w:tc>
          <w:tcPr>
            <w:tcW w:w="624" w:type="dxa"/>
          </w:tcPr>
          <w:p w:rsidRPr="002C05F5" w:rsidR="00351D20" w:rsidP="00E76159" w:rsidRDefault="00351D20" w14:paraId="6A18DB88" w14:textId="77777777">
            <w:pPr>
              <w:pStyle w:val="TableText"/>
              <w:jc w:val="both"/>
              <w:rPr>
                <w:rtl/>
              </w:rPr>
            </w:pPr>
          </w:p>
        </w:tc>
        <w:tc>
          <w:tcPr>
            <w:tcW w:w="7145" w:type="dxa"/>
            <w:gridSpan w:val="5"/>
          </w:tcPr>
          <w:p w:rsidRPr="002C05F5" w:rsidR="00351D20" w:rsidP="00E3508E" w:rsidRDefault="00351D20" w14:paraId="56AAECB6" w14:textId="77777777">
            <w:pPr>
              <w:pStyle w:val="TableHead"/>
              <w:outlineLvl w:val="9"/>
              <w:rPr>
                <w:rtl/>
              </w:rPr>
            </w:pPr>
            <w:r w:rsidRPr="002C05F5">
              <w:rPr>
                <w:rtl/>
              </w:rPr>
              <w:t>"פרק ג'</w:t>
            </w:r>
            <w:r>
              <w:rPr>
                <w:rFonts w:hint="cs"/>
                <w:rtl/>
              </w:rPr>
              <w:t>2</w:t>
            </w:r>
            <w:r w:rsidRPr="002C05F5">
              <w:rPr>
                <w:rtl/>
              </w:rPr>
              <w:t>: עבירות ועונשים בסם הקנבוס</w:t>
            </w:r>
          </w:p>
        </w:tc>
      </w:tr>
      <w:tr w:rsidR="00351D20" w:rsidTr="00D84DB8" w14:paraId="47A7C593" w14:textId="77777777">
        <w:trPr>
          <w:cantSplit/>
        </w:trPr>
        <w:tc>
          <w:tcPr>
            <w:tcW w:w="1869" w:type="dxa"/>
          </w:tcPr>
          <w:p w:rsidR="00351D20" w:rsidP="00E76159" w:rsidRDefault="00351D20" w14:paraId="3FC5210B" w14:textId="77777777">
            <w:pPr>
              <w:pStyle w:val="TableSideHeading"/>
              <w:keepLines w:val="0"/>
            </w:pPr>
          </w:p>
        </w:tc>
        <w:tc>
          <w:tcPr>
            <w:tcW w:w="624" w:type="dxa"/>
          </w:tcPr>
          <w:p w:rsidR="00351D20" w:rsidP="00E76159" w:rsidRDefault="00351D20" w14:paraId="0891842F" w14:textId="77777777">
            <w:pPr>
              <w:pStyle w:val="TableText"/>
              <w:keepLines w:val="0"/>
            </w:pPr>
          </w:p>
        </w:tc>
        <w:tc>
          <w:tcPr>
            <w:tcW w:w="1872" w:type="dxa"/>
            <w:gridSpan w:val="3"/>
          </w:tcPr>
          <w:p w:rsidR="00351D20" w:rsidP="00E76159" w:rsidRDefault="00351D20" w14:paraId="5188A2BD" w14:textId="77777777">
            <w:pPr>
              <w:pStyle w:val="TableInnerSideHeading"/>
            </w:pPr>
            <w:r>
              <w:rPr>
                <w:rFonts w:hint="cs"/>
                <w:rtl/>
              </w:rPr>
              <w:t>הגדרות</w:t>
            </w:r>
          </w:p>
        </w:tc>
        <w:tc>
          <w:tcPr>
            <w:tcW w:w="624" w:type="dxa"/>
          </w:tcPr>
          <w:p w:rsidR="00351D20" w:rsidP="00E76159" w:rsidRDefault="00351D20" w14:paraId="01D81830" w14:textId="77777777">
            <w:pPr>
              <w:pStyle w:val="TableText"/>
            </w:pPr>
            <w:r>
              <w:rPr>
                <w:rFonts w:hint="cs"/>
                <w:rtl/>
              </w:rPr>
              <w:t>25טז.</w:t>
            </w:r>
          </w:p>
        </w:tc>
        <w:tc>
          <w:tcPr>
            <w:tcW w:w="4649" w:type="dxa"/>
          </w:tcPr>
          <w:p w:rsidR="00351D20" w:rsidP="00CC1E83" w:rsidRDefault="00351D20" w14:paraId="5A248FA6" w14:textId="77777777">
            <w:pPr>
              <w:pStyle w:val="TableBlock"/>
            </w:pPr>
            <w:r>
              <w:rPr>
                <w:rFonts w:hint="cs"/>
                <w:rtl/>
              </w:rPr>
              <w:t xml:space="preserve">בפרק זה </w:t>
            </w:r>
            <w:r>
              <w:rPr>
                <w:rtl/>
              </w:rPr>
              <w:t>–</w:t>
            </w:r>
          </w:p>
        </w:tc>
      </w:tr>
      <w:tr w:rsidR="00351D20" w:rsidTr="00D84DB8" w14:paraId="2F8BE22E" w14:textId="77777777">
        <w:trPr>
          <w:cantSplit/>
        </w:trPr>
        <w:tc>
          <w:tcPr>
            <w:tcW w:w="1869" w:type="dxa"/>
          </w:tcPr>
          <w:p w:rsidR="00351D20" w:rsidP="00E76159" w:rsidRDefault="00351D20" w14:paraId="0A5362F6" w14:textId="77777777">
            <w:pPr>
              <w:pStyle w:val="TableSideHeading"/>
            </w:pPr>
          </w:p>
        </w:tc>
        <w:tc>
          <w:tcPr>
            <w:tcW w:w="624" w:type="dxa"/>
          </w:tcPr>
          <w:p w:rsidR="00351D20" w:rsidP="00E76159" w:rsidRDefault="00351D20" w14:paraId="3C082094" w14:textId="77777777">
            <w:pPr>
              <w:pStyle w:val="TableText"/>
            </w:pPr>
          </w:p>
        </w:tc>
        <w:tc>
          <w:tcPr>
            <w:tcW w:w="624" w:type="dxa"/>
          </w:tcPr>
          <w:p w:rsidR="00351D20" w:rsidP="00E76159" w:rsidRDefault="00351D20" w14:paraId="1ED6A3DC" w14:textId="77777777">
            <w:pPr>
              <w:pStyle w:val="TableText"/>
            </w:pPr>
          </w:p>
        </w:tc>
        <w:tc>
          <w:tcPr>
            <w:tcW w:w="624" w:type="dxa"/>
          </w:tcPr>
          <w:p w:rsidR="00351D20" w:rsidP="00E76159" w:rsidRDefault="00351D20" w14:paraId="2B58FD73" w14:textId="77777777">
            <w:pPr>
              <w:pStyle w:val="TableText"/>
            </w:pPr>
          </w:p>
        </w:tc>
        <w:tc>
          <w:tcPr>
            <w:tcW w:w="624" w:type="dxa"/>
          </w:tcPr>
          <w:p w:rsidR="00351D20" w:rsidP="00E76159" w:rsidRDefault="00351D20" w14:paraId="0FFFE60B" w14:textId="77777777">
            <w:pPr>
              <w:pStyle w:val="TableText"/>
            </w:pPr>
          </w:p>
        </w:tc>
        <w:tc>
          <w:tcPr>
            <w:tcW w:w="624" w:type="dxa"/>
          </w:tcPr>
          <w:p w:rsidR="00351D20" w:rsidP="00E76159" w:rsidRDefault="00351D20" w14:paraId="6728EF7D" w14:textId="77777777">
            <w:pPr>
              <w:pStyle w:val="TableText"/>
            </w:pPr>
          </w:p>
        </w:tc>
        <w:tc>
          <w:tcPr>
            <w:tcW w:w="4649" w:type="dxa"/>
          </w:tcPr>
          <w:p w:rsidRPr="004F5039" w:rsidR="00351D20" w:rsidP="00CC1E83" w:rsidRDefault="00351D20" w14:paraId="287870CB" w14:textId="77777777">
            <w:pPr>
              <w:pStyle w:val="TableBlockOutdent"/>
              <w:rPr>
                <w:rtl/>
              </w:rPr>
            </w:pPr>
            <w:r w:rsidRPr="004F5039">
              <w:rPr>
                <w:rFonts w:hint="cs"/>
                <w:rtl/>
              </w:rPr>
              <w:t xml:space="preserve">"כמות זרעים לשימוש עצמי" </w:t>
            </w:r>
            <w:r w:rsidRPr="004F5039">
              <w:rPr>
                <w:rtl/>
              </w:rPr>
              <w:t>–</w:t>
            </w:r>
            <w:r w:rsidRPr="004F5039">
              <w:rPr>
                <w:rFonts w:hint="cs"/>
                <w:rtl/>
              </w:rPr>
              <w:t xml:space="preserve"> כמות של עד 15 זרעים;</w:t>
            </w:r>
          </w:p>
        </w:tc>
      </w:tr>
      <w:tr w:rsidR="00351D20" w:rsidTr="00D84DB8" w14:paraId="517609DD" w14:textId="77777777">
        <w:trPr>
          <w:cantSplit/>
        </w:trPr>
        <w:tc>
          <w:tcPr>
            <w:tcW w:w="1869" w:type="dxa"/>
          </w:tcPr>
          <w:p w:rsidR="00351D20" w:rsidP="00E76159" w:rsidRDefault="00351D20" w14:paraId="2470CEA9" w14:textId="77777777">
            <w:pPr>
              <w:pStyle w:val="TableSideHeading"/>
            </w:pPr>
          </w:p>
        </w:tc>
        <w:tc>
          <w:tcPr>
            <w:tcW w:w="624" w:type="dxa"/>
          </w:tcPr>
          <w:p w:rsidR="00351D20" w:rsidP="00E76159" w:rsidRDefault="00351D20" w14:paraId="16B4FBF8" w14:textId="77777777">
            <w:pPr>
              <w:pStyle w:val="TableText"/>
            </w:pPr>
          </w:p>
        </w:tc>
        <w:tc>
          <w:tcPr>
            <w:tcW w:w="624" w:type="dxa"/>
          </w:tcPr>
          <w:p w:rsidR="00351D20" w:rsidP="00E76159" w:rsidRDefault="00351D20" w14:paraId="38331304" w14:textId="77777777">
            <w:pPr>
              <w:pStyle w:val="TableText"/>
            </w:pPr>
          </w:p>
        </w:tc>
        <w:tc>
          <w:tcPr>
            <w:tcW w:w="624" w:type="dxa"/>
          </w:tcPr>
          <w:p w:rsidR="00351D20" w:rsidP="00E76159" w:rsidRDefault="00351D20" w14:paraId="1A6D4397" w14:textId="77777777">
            <w:pPr>
              <w:pStyle w:val="TableText"/>
            </w:pPr>
          </w:p>
        </w:tc>
        <w:tc>
          <w:tcPr>
            <w:tcW w:w="624" w:type="dxa"/>
          </w:tcPr>
          <w:p w:rsidR="00351D20" w:rsidP="00E76159" w:rsidRDefault="00351D20" w14:paraId="6CC6C81A" w14:textId="77777777">
            <w:pPr>
              <w:pStyle w:val="TableText"/>
            </w:pPr>
          </w:p>
        </w:tc>
        <w:tc>
          <w:tcPr>
            <w:tcW w:w="624" w:type="dxa"/>
          </w:tcPr>
          <w:p w:rsidR="00351D20" w:rsidP="00E76159" w:rsidRDefault="00351D20" w14:paraId="20F77BE4" w14:textId="77777777">
            <w:pPr>
              <w:pStyle w:val="TableText"/>
            </w:pPr>
          </w:p>
        </w:tc>
        <w:tc>
          <w:tcPr>
            <w:tcW w:w="4649" w:type="dxa"/>
          </w:tcPr>
          <w:p w:rsidRPr="004F5039" w:rsidR="00351D20" w:rsidP="00CC1E83" w:rsidRDefault="00351D20" w14:paraId="5158A9C7" w14:textId="77777777">
            <w:pPr>
              <w:pStyle w:val="TableBlockOutdent"/>
              <w:rPr>
                <w:rtl/>
              </w:rPr>
            </w:pPr>
            <w:r w:rsidRPr="004F5039">
              <w:rPr>
                <w:rFonts w:hint="cs"/>
                <w:rtl/>
              </w:rPr>
              <w:t xml:space="preserve">"כמות לשימוש עצמי" </w:t>
            </w:r>
            <w:r w:rsidRPr="004F5039">
              <w:rPr>
                <w:rtl/>
              </w:rPr>
              <w:t>–</w:t>
            </w:r>
            <w:r w:rsidRPr="004F5039">
              <w:rPr>
                <w:rFonts w:hint="cs"/>
                <w:rtl/>
              </w:rPr>
              <w:t xml:space="preserve"> כמות של עד 5</w:t>
            </w:r>
            <w:r>
              <w:rPr>
                <w:rFonts w:hint="cs"/>
                <w:rtl/>
              </w:rPr>
              <w:t>0</w:t>
            </w:r>
            <w:r w:rsidRPr="004F5039">
              <w:rPr>
                <w:rFonts w:hint="cs"/>
                <w:rtl/>
              </w:rPr>
              <w:t xml:space="preserve"> גרם;</w:t>
            </w:r>
          </w:p>
        </w:tc>
      </w:tr>
      <w:tr w:rsidR="00351D20" w:rsidTr="00D84DB8" w14:paraId="1F5F286C" w14:textId="77777777">
        <w:trPr>
          <w:cantSplit/>
        </w:trPr>
        <w:tc>
          <w:tcPr>
            <w:tcW w:w="1869" w:type="dxa"/>
          </w:tcPr>
          <w:p w:rsidR="00351D20" w:rsidP="00E76159" w:rsidRDefault="00351D20" w14:paraId="38654392" w14:textId="77777777">
            <w:pPr>
              <w:pStyle w:val="TableSideHeading"/>
            </w:pPr>
          </w:p>
        </w:tc>
        <w:tc>
          <w:tcPr>
            <w:tcW w:w="624" w:type="dxa"/>
          </w:tcPr>
          <w:p w:rsidR="00351D20" w:rsidP="00E76159" w:rsidRDefault="00351D20" w14:paraId="1FDDFB2D" w14:textId="77777777">
            <w:pPr>
              <w:pStyle w:val="TableText"/>
            </w:pPr>
          </w:p>
        </w:tc>
        <w:tc>
          <w:tcPr>
            <w:tcW w:w="624" w:type="dxa"/>
          </w:tcPr>
          <w:p w:rsidR="00351D20" w:rsidP="00E76159" w:rsidRDefault="00351D20" w14:paraId="21F9BD99" w14:textId="77777777">
            <w:pPr>
              <w:pStyle w:val="TableText"/>
            </w:pPr>
          </w:p>
        </w:tc>
        <w:tc>
          <w:tcPr>
            <w:tcW w:w="624" w:type="dxa"/>
          </w:tcPr>
          <w:p w:rsidR="00351D20" w:rsidP="00E76159" w:rsidRDefault="00351D20" w14:paraId="04EB5EAB" w14:textId="77777777">
            <w:pPr>
              <w:pStyle w:val="TableText"/>
            </w:pPr>
          </w:p>
        </w:tc>
        <w:tc>
          <w:tcPr>
            <w:tcW w:w="624" w:type="dxa"/>
          </w:tcPr>
          <w:p w:rsidR="00351D20" w:rsidP="00E76159" w:rsidRDefault="00351D20" w14:paraId="549B6F8E" w14:textId="77777777">
            <w:pPr>
              <w:pStyle w:val="TableText"/>
            </w:pPr>
          </w:p>
        </w:tc>
        <w:tc>
          <w:tcPr>
            <w:tcW w:w="624" w:type="dxa"/>
          </w:tcPr>
          <w:p w:rsidR="00351D20" w:rsidP="00E76159" w:rsidRDefault="00351D20" w14:paraId="6A138595" w14:textId="77777777">
            <w:pPr>
              <w:pStyle w:val="TableText"/>
            </w:pPr>
          </w:p>
        </w:tc>
        <w:tc>
          <w:tcPr>
            <w:tcW w:w="4649" w:type="dxa"/>
          </w:tcPr>
          <w:p w:rsidRPr="004F5039" w:rsidR="00351D20" w:rsidP="00CC1E83" w:rsidRDefault="00351D20" w14:paraId="09F88DA8" w14:textId="77777777">
            <w:pPr>
              <w:pStyle w:val="TableBlockOutdent"/>
              <w:rPr>
                <w:rtl/>
              </w:rPr>
            </w:pPr>
            <w:r w:rsidRPr="004F5039">
              <w:rPr>
                <w:rFonts w:hint="cs"/>
                <w:rtl/>
              </w:rPr>
              <w:t>"</w:t>
            </w:r>
            <w:r>
              <w:rPr>
                <w:rFonts w:hint="cs"/>
                <w:rtl/>
              </w:rPr>
              <w:t>קנבוס</w:t>
            </w:r>
            <w:r w:rsidRPr="004F5039">
              <w:rPr>
                <w:rFonts w:hint="cs"/>
                <w:rtl/>
              </w:rPr>
              <w:t xml:space="preserve">" </w:t>
            </w:r>
            <w:r w:rsidRPr="004F5039">
              <w:rPr>
                <w:rtl/>
              </w:rPr>
              <w:t>–</w:t>
            </w:r>
            <w:r>
              <w:rPr>
                <w:rFonts w:hint="cs"/>
                <w:rtl/>
              </w:rPr>
              <w:t xml:space="preserve"> קנבוס לרבות </w:t>
            </w:r>
            <w:r w:rsidRPr="004F5039">
              <w:rPr>
                <w:rFonts w:hint="cs"/>
                <w:rtl/>
              </w:rPr>
              <w:t>שרף של קנבוס.</w:t>
            </w:r>
          </w:p>
        </w:tc>
      </w:tr>
      <w:tr w:rsidR="00351D20" w:rsidTr="00D84DB8" w14:paraId="74CACE70" w14:textId="77777777">
        <w:trPr>
          <w:cantSplit/>
        </w:trPr>
        <w:tc>
          <w:tcPr>
            <w:tcW w:w="1869" w:type="dxa"/>
          </w:tcPr>
          <w:p w:rsidR="00351D20" w:rsidP="00E76159" w:rsidRDefault="00351D20" w14:paraId="209E682A" w14:textId="77777777">
            <w:pPr>
              <w:pStyle w:val="TableSideHeading"/>
              <w:keepLines w:val="0"/>
            </w:pPr>
          </w:p>
        </w:tc>
        <w:tc>
          <w:tcPr>
            <w:tcW w:w="624" w:type="dxa"/>
          </w:tcPr>
          <w:p w:rsidR="00351D20" w:rsidP="00E76159" w:rsidRDefault="00351D20" w14:paraId="780EDE2F" w14:textId="77777777">
            <w:pPr>
              <w:pStyle w:val="TableText"/>
              <w:keepLines w:val="0"/>
            </w:pPr>
          </w:p>
        </w:tc>
        <w:tc>
          <w:tcPr>
            <w:tcW w:w="1872" w:type="dxa"/>
            <w:gridSpan w:val="3"/>
          </w:tcPr>
          <w:p w:rsidR="00351D20" w:rsidP="00E76159" w:rsidRDefault="00351D20" w14:paraId="6D6EA37D" w14:textId="77777777">
            <w:pPr>
              <w:pStyle w:val="TableInnerSideHeading"/>
            </w:pPr>
            <w:r>
              <w:rPr>
                <w:rFonts w:hint="cs"/>
                <w:rtl/>
              </w:rPr>
              <w:t>אחריות פלילית</w:t>
            </w:r>
          </w:p>
        </w:tc>
        <w:tc>
          <w:tcPr>
            <w:tcW w:w="624" w:type="dxa"/>
          </w:tcPr>
          <w:p w:rsidR="00351D20" w:rsidP="00E76159" w:rsidRDefault="00351D20" w14:paraId="4882DA56" w14:textId="77777777">
            <w:pPr>
              <w:pStyle w:val="TableText"/>
            </w:pPr>
            <w:r>
              <w:rPr>
                <w:rFonts w:hint="cs"/>
                <w:rtl/>
              </w:rPr>
              <w:t>25יז.</w:t>
            </w:r>
          </w:p>
        </w:tc>
        <w:tc>
          <w:tcPr>
            <w:tcW w:w="4649" w:type="dxa"/>
          </w:tcPr>
          <w:p w:rsidR="00351D20" w:rsidP="00CC1E83" w:rsidRDefault="00351D20" w14:paraId="5EFEECAF" w14:textId="77777777">
            <w:pPr>
              <w:pStyle w:val="TableBlock"/>
            </w:pPr>
            <w:r>
              <w:rPr>
                <w:rFonts w:hint="cs"/>
                <w:rtl/>
              </w:rPr>
              <w:t>לא יישא בגיר באחריות פלילית בשל עבירה לפי סעיף 7 בשל החזקה של קנבוס במקום שאינו ציבורי, בכמות לשימוש עצמי או בכמות זרעים לשימוש עצמי, או בשל שימוש בקנבוס בנסיבות כאמור.</w:t>
            </w:r>
          </w:p>
        </w:tc>
      </w:tr>
      <w:tr w:rsidR="00351D20" w:rsidTr="00D84DB8" w14:paraId="5CCC7EF5" w14:textId="77777777">
        <w:trPr>
          <w:cantSplit/>
        </w:trPr>
        <w:tc>
          <w:tcPr>
            <w:tcW w:w="1869" w:type="dxa"/>
          </w:tcPr>
          <w:p w:rsidR="00351D20" w:rsidP="00E76159" w:rsidRDefault="00351D20" w14:paraId="235E88DD" w14:textId="77777777">
            <w:pPr>
              <w:pStyle w:val="TableSideHeading"/>
              <w:keepLines w:val="0"/>
            </w:pPr>
          </w:p>
        </w:tc>
        <w:tc>
          <w:tcPr>
            <w:tcW w:w="624" w:type="dxa"/>
          </w:tcPr>
          <w:p w:rsidR="00351D20" w:rsidP="00E76159" w:rsidRDefault="00351D20" w14:paraId="7CB54898" w14:textId="77777777">
            <w:pPr>
              <w:pStyle w:val="TableText"/>
              <w:keepLines w:val="0"/>
            </w:pPr>
          </w:p>
        </w:tc>
        <w:tc>
          <w:tcPr>
            <w:tcW w:w="1872" w:type="dxa"/>
            <w:gridSpan w:val="3"/>
          </w:tcPr>
          <w:p w:rsidR="00351D20" w:rsidP="00E76159" w:rsidRDefault="00351D20" w14:paraId="51AEE5E8" w14:textId="77777777">
            <w:pPr>
              <w:pStyle w:val="TableInnerSideHeading"/>
            </w:pPr>
            <w:r>
              <w:rPr>
                <w:rFonts w:hint="cs"/>
                <w:rtl/>
              </w:rPr>
              <w:t>שימוש אסור בקנבוס</w:t>
            </w:r>
          </w:p>
        </w:tc>
        <w:tc>
          <w:tcPr>
            <w:tcW w:w="624" w:type="dxa"/>
          </w:tcPr>
          <w:p w:rsidR="00351D20" w:rsidP="00E76159" w:rsidRDefault="00351D20" w14:paraId="3DB6C455" w14:textId="77777777">
            <w:pPr>
              <w:pStyle w:val="TableText"/>
            </w:pPr>
            <w:r>
              <w:rPr>
                <w:rFonts w:hint="cs"/>
                <w:rtl/>
              </w:rPr>
              <w:t>25יח.</w:t>
            </w:r>
          </w:p>
        </w:tc>
        <w:tc>
          <w:tcPr>
            <w:tcW w:w="4649" w:type="dxa"/>
          </w:tcPr>
          <w:p w:rsidR="00351D20" w:rsidP="00CC1E83" w:rsidRDefault="00351D20" w14:paraId="2796BC8F" w14:textId="77777777">
            <w:pPr>
              <w:pStyle w:val="TableBlock"/>
            </w:pPr>
            <w:r>
              <w:rPr>
                <w:rFonts w:hint="cs"/>
                <w:rtl/>
              </w:rPr>
              <w:t xml:space="preserve">על אף האמור בסעיף 7, בגיר </w:t>
            </w:r>
            <w:r w:rsidRPr="008C3A78">
              <w:rPr>
                <w:rFonts w:hint="cs"/>
                <w:rtl/>
              </w:rPr>
              <w:t>ה</w:t>
            </w:r>
            <w:r>
              <w:rPr>
                <w:rFonts w:hint="cs"/>
                <w:rtl/>
              </w:rPr>
              <w:t>משתמש</w:t>
            </w:r>
            <w:r w:rsidRPr="008C3A78">
              <w:rPr>
                <w:rFonts w:hint="cs"/>
                <w:rtl/>
              </w:rPr>
              <w:t xml:space="preserve"> </w:t>
            </w:r>
            <w:r>
              <w:rPr>
                <w:rFonts w:hint="cs"/>
                <w:rtl/>
              </w:rPr>
              <w:t>בקנבוס בכמות לשימוש עצמי</w:t>
            </w:r>
            <w:r w:rsidRPr="008C3A78">
              <w:rPr>
                <w:rFonts w:hint="cs"/>
                <w:rtl/>
              </w:rPr>
              <w:t xml:space="preserve"> בשט</w:t>
            </w:r>
            <w:r>
              <w:rPr>
                <w:rFonts w:hint="cs"/>
                <w:rtl/>
              </w:rPr>
              <w:t xml:space="preserve">ח ציבורי,  דינו </w:t>
            </w:r>
            <w:r w:rsidRPr="0044639D">
              <w:rPr>
                <w:rtl/>
              </w:rPr>
              <w:t>–</w:t>
            </w:r>
            <w:r>
              <w:rPr>
                <w:rFonts w:hint="cs"/>
                <w:rtl/>
              </w:rPr>
              <w:t xml:space="preserve"> קנס 500 שקלים חדשים;</w:t>
            </w:r>
            <w:r w:rsidRPr="008C3A78">
              <w:rPr>
                <w:rFonts w:hint="cs"/>
                <w:rtl/>
              </w:rPr>
              <w:t xml:space="preserve"> </w:t>
            </w:r>
            <w:r>
              <w:rPr>
                <w:rFonts w:hint="cs"/>
                <w:rtl/>
              </w:rPr>
              <w:t xml:space="preserve">לעניין זה, "שטח ציבורי" </w:t>
            </w:r>
            <w:r>
              <w:rPr>
                <w:rtl/>
              </w:rPr>
              <w:t>–</w:t>
            </w:r>
            <w:r>
              <w:rPr>
                <w:rFonts w:hint="cs"/>
                <w:rtl/>
              </w:rPr>
              <w:t xml:space="preserve"> כמשמעותו ב</w:t>
            </w:r>
            <w:r w:rsidRPr="00E56BE1">
              <w:rPr>
                <w:rtl/>
              </w:rPr>
              <w:t xml:space="preserve">חוק למניעת העישון במקומות ציבוריים והחשיפה לעישון, </w:t>
            </w:r>
            <w:r>
              <w:rPr>
                <w:rFonts w:hint="cs"/>
                <w:rtl/>
              </w:rPr>
              <w:t>ה</w:t>
            </w:r>
            <w:r w:rsidRPr="00E56BE1">
              <w:rPr>
                <w:rtl/>
              </w:rPr>
              <w:t>תשמ"ג</w:t>
            </w:r>
            <w:r w:rsidRPr="00BF3FBD">
              <w:rPr>
                <w:rFonts w:hint="cs"/>
                <w:rtl/>
              </w:rPr>
              <w:t>–</w:t>
            </w:r>
            <w:r w:rsidRPr="00E56BE1">
              <w:rPr>
                <w:rtl/>
              </w:rPr>
              <w:t>1983</w:t>
            </w:r>
            <w:r w:rsidRPr="00E3508E">
              <w:rPr>
                <w:rStyle w:val="a6"/>
                <w:rFonts w:ascii="David" w:hAnsi="David"/>
                <w:sz w:val="26"/>
                <w:rtl/>
              </w:rPr>
              <w:footnoteReference w:id="3"/>
            </w:r>
            <w:r>
              <w:rPr>
                <w:rFonts w:hint="cs"/>
                <w:rtl/>
              </w:rPr>
              <w:t>.</w:t>
            </w:r>
          </w:p>
        </w:tc>
      </w:tr>
      <w:tr w:rsidR="00351D20" w:rsidTr="00D84DB8" w14:paraId="0B4AEC09" w14:textId="77777777">
        <w:trPr>
          <w:cantSplit/>
        </w:trPr>
        <w:tc>
          <w:tcPr>
            <w:tcW w:w="1869" w:type="dxa"/>
          </w:tcPr>
          <w:p w:rsidR="00351D20" w:rsidP="00E76159" w:rsidRDefault="00351D20" w14:paraId="2C2F6202" w14:textId="77777777">
            <w:pPr>
              <w:pStyle w:val="TableSideHeading"/>
              <w:keepLines w:val="0"/>
            </w:pPr>
          </w:p>
        </w:tc>
        <w:tc>
          <w:tcPr>
            <w:tcW w:w="624" w:type="dxa"/>
          </w:tcPr>
          <w:p w:rsidR="00351D20" w:rsidP="00E76159" w:rsidRDefault="00351D20" w14:paraId="30CFBADF" w14:textId="77777777">
            <w:pPr>
              <w:pStyle w:val="TableText"/>
              <w:keepLines w:val="0"/>
            </w:pPr>
          </w:p>
        </w:tc>
        <w:tc>
          <w:tcPr>
            <w:tcW w:w="1872" w:type="dxa"/>
            <w:gridSpan w:val="3"/>
          </w:tcPr>
          <w:p w:rsidR="00351D20" w:rsidP="00E76159" w:rsidRDefault="00351D20" w14:paraId="2C40D62E" w14:textId="77777777">
            <w:pPr>
              <w:pStyle w:val="TableInnerSideHeading"/>
            </w:pPr>
            <w:r>
              <w:rPr>
                <w:rFonts w:hint="cs"/>
                <w:rtl/>
              </w:rPr>
              <w:t>החזקה אסורה של קנבוס</w:t>
            </w:r>
          </w:p>
        </w:tc>
        <w:tc>
          <w:tcPr>
            <w:tcW w:w="624" w:type="dxa"/>
          </w:tcPr>
          <w:p w:rsidR="00351D20" w:rsidP="00E76159" w:rsidRDefault="00351D20" w14:paraId="4E655C08" w14:textId="77777777">
            <w:pPr>
              <w:pStyle w:val="TableText"/>
            </w:pPr>
            <w:r>
              <w:rPr>
                <w:rFonts w:hint="cs"/>
                <w:rtl/>
              </w:rPr>
              <w:t>25יט.</w:t>
            </w:r>
          </w:p>
        </w:tc>
        <w:tc>
          <w:tcPr>
            <w:tcW w:w="4649" w:type="dxa"/>
          </w:tcPr>
          <w:p w:rsidR="00351D20" w:rsidP="00CC1E83" w:rsidRDefault="00351D20" w14:paraId="21887706" w14:textId="77777777">
            <w:pPr>
              <w:pStyle w:val="TableBlock"/>
            </w:pPr>
            <w:r>
              <w:rPr>
                <w:rFonts w:hint="cs"/>
                <w:rtl/>
              </w:rPr>
              <w:t xml:space="preserve">על אף האמור בסעיף 7, המחזיק קנבוס בכמות העולה על הכמות לשימוש עצמי שלא לצורך סחר, </w:t>
            </w:r>
            <w:r w:rsidRPr="00EA0F5F">
              <w:rPr>
                <w:rFonts w:hint="cs"/>
                <w:rtl/>
              </w:rPr>
              <w:t xml:space="preserve">דינו </w:t>
            </w:r>
            <w:r w:rsidRPr="00EA0F5F">
              <w:rPr>
                <w:rtl/>
              </w:rPr>
              <w:t>–</w:t>
            </w:r>
            <w:r w:rsidRPr="00EA0F5F">
              <w:rPr>
                <w:rFonts w:hint="cs"/>
                <w:rtl/>
              </w:rPr>
              <w:t xml:space="preserve"> </w:t>
            </w:r>
            <w:r>
              <w:rPr>
                <w:rFonts w:hint="cs"/>
                <w:rtl/>
              </w:rPr>
              <w:t>קנס</w:t>
            </w:r>
            <w:r w:rsidRPr="00EA0F5F">
              <w:rPr>
                <w:rFonts w:hint="cs"/>
                <w:rtl/>
              </w:rPr>
              <w:t xml:space="preserve"> </w:t>
            </w:r>
            <w:r>
              <w:rPr>
                <w:rFonts w:hint="cs"/>
                <w:rtl/>
              </w:rPr>
              <w:t xml:space="preserve">2000 </w:t>
            </w:r>
            <w:r w:rsidRPr="00EA0F5F">
              <w:rPr>
                <w:rFonts w:hint="cs"/>
                <w:rtl/>
              </w:rPr>
              <w:t>שקלים חדשים</w:t>
            </w:r>
            <w:r>
              <w:rPr>
                <w:rFonts w:hint="cs"/>
                <w:rtl/>
              </w:rPr>
              <w:t>.</w:t>
            </w:r>
          </w:p>
        </w:tc>
      </w:tr>
      <w:tr w:rsidR="00D84DB8" w:rsidTr="00D84DB8" w14:paraId="1BD1EF69" w14:textId="77777777">
        <w:trPr>
          <w:cantSplit/>
          <w:trHeight w:val="60"/>
        </w:trPr>
        <w:tc>
          <w:tcPr>
            <w:tcW w:w="1869" w:type="dxa"/>
          </w:tcPr>
          <w:p w:rsidR="00D84DB8" w:rsidP="00D84DB8" w:rsidRDefault="00D84DB8" w14:paraId="31D6C7B7" w14:textId="77777777">
            <w:pPr>
              <w:pStyle w:val="TableSideHeading"/>
              <w:keepLines w:val="0"/>
            </w:pPr>
          </w:p>
        </w:tc>
        <w:tc>
          <w:tcPr>
            <w:tcW w:w="624" w:type="dxa"/>
          </w:tcPr>
          <w:p w:rsidR="00D84DB8" w:rsidP="00D84DB8" w:rsidRDefault="00D84DB8" w14:paraId="17B879B8" w14:textId="77777777">
            <w:pPr>
              <w:pStyle w:val="TableText"/>
              <w:keepLines w:val="0"/>
            </w:pPr>
          </w:p>
        </w:tc>
        <w:tc>
          <w:tcPr>
            <w:tcW w:w="1872" w:type="dxa"/>
            <w:gridSpan w:val="3"/>
          </w:tcPr>
          <w:p w:rsidR="00D84DB8" w:rsidP="00D84DB8" w:rsidRDefault="00D84DB8" w14:paraId="1B225133" w14:textId="594F90B6">
            <w:pPr>
              <w:pStyle w:val="TableInnerSideHeading"/>
            </w:pPr>
            <w:r>
              <w:rPr>
                <w:rFonts w:hint="cs"/>
                <w:rtl/>
              </w:rPr>
              <w:t>פטור מרישום פלילי</w:t>
            </w:r>
          </w:p>
        </w:tc>
        <w:tc>
          <w:tcPr>
            <w:tcW w:w="624" w:type="dxa"/>
          </w:tcPr>
          <w:p w:rsidR="00D84DB8" w:rsidP="00D84DB8" w:rsidRDefault="00D84DB8" w14:paraId="0E91E4B3" w14:textId="1C0AF869">
            <w:pPr>
              <w:pStyle w:val="TableText"/>
            </w:pPr>
            <w:r>
              <w:rPr>
                <w:rFonts w:hint="cs"/>
                <w:rtl/>
              </w:rPr>
              <w:t>25כ.</w:t>
            </w:r>
          </w:p>
        </w:tc>
        <w:tc>
          <w:tcPr>
            <w:tcW w:w="4649" w:type="dxa"/>
          </w:tcPr>
          <w:p w:rsidRPr="00D84DB8" w:rsidR="00D84DB8" w:rsidP="00D84DB8" w:rsidRDefault="00D84DB8" w14:paraId="0DFF7255" w14:textId="6353795F">
            <w:pPr>
              <w:pStyle w:val="TableBlock"/>
            </w:pPr>
            <w:r w:rsidRPr="00D84DB8">
              <w:rPr>
                <w:rFonts w:hint="cs"/>
                <w:rtl/>
              </w:rPr>
              <w:t xml:space="preserve">הרשעה של בגיר בעבירה לפי סעיף 25יח או סעיף 25יט, לא תהווה פריט רישום במרשם הפלילי, כמשמעו בחוק המרשם הפלילי ותקנת השבים, </w:t>
            </w:r>
            <w:r w:rsidRPr="00D84DB8">
              <w:rPr>
                <w:rtl/>
              </w:rPr>
              <w:t>התשע"ט</w:t>
            </w:r>
            <w:r>
              <w:rPr>
                <w:rFonts w:hint="cs"/>
                <w:rtl/>
              </w:rPr>
              <w:t>–</w:t>
            </w:r>
            <w:r w:rsidRPr="00D84DB8">
              <w:rPr>
                <w:rtl/>
              </w:rPr>
              <w:t>2019</w:t>
            </w:r>
            <w:r w:rsidRPr="00D84DB8">
              <w:rPr>
                <w:vertAlign w:val="superscript"/>
                <w:rtl/>
              </w:rPr>
              <w:footnoteReference w:id="4"/>
            </w:r>
            <w:r w:rsidRPr="00D84DB8">
              <w:rPr>
                <w:rFonts w:hint="cs"/>
                <w:rtl/>
              </w:rPr>
              <w:t>.</w:t>
            </w:r>
          </w:p>
        </w:tc>
      </w:tr>
      <w:tr w:rsidRPr="00C34DE2" w:rsidR="00D84DB8" w:rsidTr="00D84DB8" w14:paraId="288475A9" w14:textId="77777777">
        <w:trPr>
          <w:cantSplit/>
        </w:trPr>
        <w:tc>
          <w:tcPr>
            <w:tcW w:w="1869" w:type="dxa"/>
          </w:tcPr>
          <w:p w:rsidRPr="008A748C" w:rsidR="00D84DB8" w:rsidP="00D84DB8" w:rsidRDefault="00D84DB8" w14:paraId="15CE3733" w14:textId="77777777">
            <w:pPr>
              <w:pStyle w:val="TableSideHeading"/>
              <w:rPr>
                <w:rtl/>
              </w:rPr>
            </w:pPr>
            <w:r>
              <w:rPr>
                <w:rFonts w:hint="cs"/>
                <w:rtl/>
              </w:rPr>
              <w:t xml:space="preserve">ביטול </w:t>
            </w:r>
            <w:r w:rsidRPr="00357D18">
              <w:rPr>
                <w:rFonts w:hint="cs"/>
                <w:rtl/>
              </w:rPr>
              <w:t>חוק הסמים המסוכנים</w:t>
            </w:r>
            <w:r>
              <w:rPr>
                <w:rFonts w:hint="cs"/>
                <w:rtl/>
              </w:rPr>
              <w:t xml:space="preserve"> </w:t>
            </w:r>
            <w:r>
              <w:rPr>
                <w:rtl/>
              </w:rPr>
              <w:t>–</w:t>
            </w:r>
            <w:r>
              <w:rPr>
                <w:rFonts w:hint="cs"/>
                <w:rtl/>
              </w:rPr>
              <w:t xml:space="preserve"> הוראת שעה</w:t>
            </w:r>
          </w:p>
        </w:tc>
        <w:tc>
          <w:tcPr>
            <w:tcW w:w="624" w:type="dxa"/>
          </w:tcPr>
          <w:p w:rsidR="00D84DB8" w:rsidP="00D84DB8" w:rsidRDefault="00D84DB8" w14:paraId="23285301" w14:textId="0FE93D3C">
            <w:pPr>
              <w:pStyle w:val="TableText"/>
              <w:rPr>
                <w:rtl/>
              </w:rPr>
            </w:pPr>
            <w:r>
              <w:rPr>
                <w:rFonts w:hint="cs"/>
                <w:rtl/>
              </w:rPr>
              <w:t>3.</w:t>
            </w:r>
          </w:p>
        </w:tc>
        <w:tc>
          <w:tcPr>
            <w:tcW w:w="7145" w:type="dxa"/>
            <w:gridSpan w:val="5"/>
          </w:tcPr>
          <w:p w:rsidR="00D84DB8" w:rsidP="00D84DB8" w:rsidRDefault="00D84DB8" w14:paraId="5D051F09" w14:textId="77777777">
            <w:pPr>
              <w:pStyle w:val="TableBlock"/>
              <w:rPr>
                <w:rtl/>
              </w:rPr>
            </w:pPr>
            <w:r>
              <w:rPr>
                <w:rFonts w:hint="cs"/>
                <w:rtl/>
              </w:rPr>
              <w:t xml:space="preserve">חוק הסמים המסוכנים (עבירת קנס מיוחדת </w:t>
            </w:r>
            <w:r>
              <w:rPr>
                <w:rtl/>
              </w:rPr>
              <w:t>–</w:t>
            </w:r>
            <w:r>
              <w:rPr>
                <w:rFonts w:hint="cs"/>
                <w:rtl/>
              </w:rPr>
              <w:t xml:space="preserve"> הוראת שעה), התשע"ח</w:t>
            </w:r>
            <w:r>
              <w:rPr>
                <w:rtl/>
              </w:rPr>
              <w:t>–</w:t>
            </w:r>
            <w:r>
              <w:rPr>
                <w:rFonts w:hint="cs"/>
                <w:rtl/>
              </w:rPr>
              <w:t>2018</w:t>
            </w:r>
            <w:r w:rsidRPr="00E3508E">
              <w:rPr>
                <w:rStyle w:val="a6"/>
                <w:rFonts w:ascii="David" w:hAnsi="David"/>
                <w:sz w:val="26"/>
                <w:rtl/>
              </w:rPr>
              <w:footnoteReference w:id="5"/>
            </w:r>
            <w:r>
              <w:rPr>
                <w:rFonts w:hint="cs"/>
                <w:rtl/>
              </w:rPr>
              <w:t xml:space="preserve"> </w:t>
            </w:r>
            <w:r>
              <w:rPr>
                <w:rtl/>
              </w:rPr>
              <w:t>–</w:t>
            </w:r>
            <w:r>
              <w:rPr>
                <w:rFonts w:hint="cs"/>
                <w:rtl/>
              </w:rPr>
              <w:t xml:space="preserve"> בטל. </w:t>
            </w:r>
          </w:p>
        </w:tc>
      </w:tr>
    </w:tbl>
    <w:p w:rsidRPr="00CC1E83" w:rsidR="002D1EE3" w:rsidP="00CC1E83" w:rsidRDefault="002D1EE3" w14:paraId="7F6961CA" w14:textId="77777777">
      <w:pPr>
        <w:pStyle w:val="HeadDivreiHesber"/>
        <w:rPr>
          <w:rtl/>
        </w:rPr>
      </w:pPr>
      <w:r w:rsidRPr="00CC1E83">
        <w:rPr>
          <w:rFonts w:hint="cs"/>
          <w:rtl/>
        </w:rPr>
        <w:t>דברי הסבר</w:t>
      </w:r>
    </w:p>
    <w:p w:rsidRPr="00E3508E" w:rsidR="00351D20" w:rsidP="00CC1E83" w:rsidRDefault="00351D20" w14:paraId="11DF20AC" w14:textId="77777777">
      <w:pPr>
        <w:pStyle w:val="Hesber"/>
        <w:rPr>
          <w:rtl/>
        </w:rPr>
      </w:pPr>
      <w:r w:rsidRPr="00CC1E83">
        <w:rPr>
          <w:rFonts w:hint="cs"/>
          <w:rtl/>
        </w:rPr>
        <w:t xml:space="preserve">מטרת הצעת החוק היא למנוע הפללה </w:t>
      </w:r>
      <w:r w:rsidRPr="00896519">
        <w:rPr>
          <w:rFonts w:hint="cs"/>
          <w:rtl/>
        </w:rPr>
        <w:t xml:space="preserve">של ציבור הבגירים העושים </w:t>
      </w:r>
      <w:r w:rsidRPr="00E3508E">
        <w:rPr>
          <w:rFonts w:hint="cs"/>
          <w:rtl/>
        </w:rPr>
        <w:t xml:space="preserve">שימוש בקנבוס לצריכה עצמית בלבד ולבטל את הוראת השעה שנחקקה בשנה שעברה שהותירה את הפללת המשתמשים כאמור על כנה. </w:t>
      </w:r>
    </w:p>
    <w:p w:rsidRPr="00E3508E" w:rsidR="00351D20" w:rsidP="00896519" w:rsidRDefault="00351D20" w14:paraId="37F51278" w14:textId="77777777">
      <w:pPr>
        <w:pStyle w:val="Hesber"/>
        <w:rPr>
          <w:rtl/>
        </w:rPr>
      </w:pPr>
      <w:r w:rsidRPr="00E3508E">
        <w:rPr>
          <w:rFonts w:hint="cs"/>
          <w:rtl/>
        </w:rPr>
        <w:t>למעלה ממיליון ישראלים צורכים קנבוס בצריכה מזדמנת, כאשר ציבור המשתמשים ברובו אינו ציבור עברייני. מדובר באנשים נורמטיביי</w:t>
      </w:r>
      <w:r w:rsidRPr="00E3508E">
        <w:rPr>
          <w:rFonts w:hint="eastAsia"/>
          <w:rtl/>
        </w:rPr>
        <w:t>ם</w:t>
      </w:r>
      <w:r w:rsidRPr="00E3508E">
        <w:rPr>
          <w:rFonts w:hint="cs"/>
          <w:rtl/>
        </w:rPr>
        <w:t xml:space="preserve"> מכל שכבות האוכלוסיי</w:t>
      </w:r>
      <w:r w:rsidRPr="00E3508E">
        <w:rPr>
          <w:rFonts w:hint="eastAsia"/>
          <w:rtl/>
        </w:rPr>
        <w:t>ה</w:t>
      </w:r>
      <w:r w:rsidRPr="00E3508E">
        <w:rPr>
          <w:rFonts w:hint="cs"/>
          <w:rtl/>
        </w:rPr>
        <w:t>, אנשי אקדמיה, אנשי ציבור ועוד, אשר צורכים קנבוס בשעות הפנאי.</w:t>
      </w:r>
    </w:p>
    <w:p w:rsidRPr="00E3508E" w:rsidR="00351D20" w:rsidP="00896519" w:rsidRDefault="00351D20" w14:paraId="4FD250F9" w14:textId="77777777">
      <w:pPr>
        <w:pStyle w:val="Hesber"/>
        <w:rPr>
          <w:rtl/>
        </w:rPr>
      </w:pPr>
      <w:r w:rsidRPr="00E3508E">
        <w:rPr>
          <w:rFonts w:hint="cs"/>
          <w:rtl/>
        </w:rPr>
        <w:t>מחקרים רבים, וביניהם דוח של ועדה בין לאומית לבחינת מדיניות הסמים העולמית שהוגש ביוני 2011 לאו"ם,</w:t>
      </w:r>
      <w:r w:rsidRPr="00E3508E">
        <w:rPr>
          <w:rtl/>
        </w:rPr>
        <w:t xml:space="preserve"> (דה-קרימינילזציה (אי הפללה) של השימוש בסמים, מרכז המחקר והמידע של הכנסת, אוגוסט 2011)</w:t>
      </w:r>
      <w:r w:rsidRPr="00E3508E">
        <w:rPr>
          <w:rFonts w:hint="cs"/>
          <w:rtl/>
        </w:rPr>
        <w:t>, עסקו בדה-קרימינליזציה של השימוש בסמים והמליצו, בין היתר, להפסיק את הקרימינליזציה של העושים שימוש בקנבוס לצריכה עצמית בלבד.</w:t>
      </w:r>
    </w:p>
    <w:p w:rsidRPr="00E3508E" w:rsidR="00351D20" w:rsidP="00E3508E" w:rsidRDefault="00351D20" w14:paraId="52792FF5" w14:textId="77777777">
      <w:pPr>
        <w:pStyle w:val="Hesber"/>
        <w:rPr>
          <w:rtl/>
        </w:rPr>
      </w:pPr>
      <w:r w:rsidRPr="00E3508E">
        <w:rPr>
          <w:rFonts w:hint="cs"/>
          <w:rtl/>
        </w:rPr>
        <w:t>ממצאים מעידים כי מרבית עבירות הסמים שבהן נפתחו תיקים הן עבירות של שימוש והחזקה ורק מיעוט העבירות הן עבירות סחר (כ-16%-18% מעבירות הסמים). הפללת צרכני הקנבוס מהווה פגיעה בזכויות הפרט ואינה תואמת את הלכי הרוח של מדינה חופשית ודמוקרטית. יתרה מכך, היא עלולה להוביל אזרחים נורמטיביי</w:t>
      </w:r>
      <w:r w:rsidRPr="00E3508E">
        <w:rPr>
          <w:rFonts w:hint="eastAsia"/>
          <w:rtl/>
        </w:rPr>
        <w:t>ם</w:t>
      </w:r>
      <w:r w:rsidRPr="00E3508E">
        <w:rPr>
          <w:rFonts w:hint="cs"/>
          <w:rtl/>
        </w:rPr>
        <w:t xml:space="preserve"> ושומרי חוק למעגל הפשע.</w:t>
      </w:r>
    </w:p>
    <w:p w:rsidRPr="00E3508E" w:rsidR="00351D20" w:rsidP="00E3508E" w:rsidRDefault="00351D20" w14:paraId="0E319922" w14:textId="77777777">
      <w:pPr>
        <w:pStyle w:val="Hesber"/>
        <w:rPr>
          <w:rtl/>
        </w:rPr>
      </w:pPr>
      <w:r w:rsidRPr="00E3508E">
        <w:rPr>
          <w:rFonts w:hint="cs"/>
          <w:rtl/>
        </w:rPr>
        <w:t xml:space="preserve">הצעת חוק זו לא נועדה לעודד שימוש בקנבוס או להניף דגל שכזה מבחינה חברתית. נהפוך הוא, </w:t>
      </w:r>
      <w:r w:rsidRPr="00E3508E">
        <w:rPr>
          <w:rFonts w:hint="cs"/>
          <w:rtl/>
        </w:rPr>
        <w:lastRenderedPageBreak/>
        <w:t>הצעת החוק משאירה את הקנבוס כסם אסור בפקודת הסמים המסוכנים וקובעת קנס למי שיצרוך אותו במקומות ציבוריים או למי שיחזיק את הסם בכמות העולה על הכמות לשימוש עצמי אך שלא נועדה לסחר. יחד עם זאת, הצעת חוק זו תמנע את הפיכתם של אנשים בגירים ונורמטיביי</w:t>
      </w:r>
      <w:r w:rsidRPr="00E3508E">
        <w:rPr>
          <w:rFonts w:hint="eastAsia"/>
          <w:rtl/>
        </w:rPr>
        <w:t>ם</w:t>
      </w:r>
      <w:r w:rsidRPr="00E3508E">
        <w:rPr>
          <w:rFonts w:hint="cs"/>
          <w:rtl/>
        </w:rPr>
        <w:t xml:space="preserve"> לעבריינים בעיני החוק. הצעת החוק תאפשר את המשך חייהם הרגילים והמקצועיים ואת תרומתם לחברה ותמנע את הפגיעה הצפויה להם כתוצאה מרישום פלילי.</w:t>
      </w:r>
    </w:p>
    <w:p w:rsidRPr="00E3508E" w:rsidR="00351D20" w:rsidP="00E3508E" w:rsidRDefault="00351D20" w14:paraId="1FCC59A3" w14:textId="77777777">
      <w:pPr>
        <w:pStyle w:val="Hesber"/>
        <w:rPr>
          <w:rtl/>
        </w:rPr>
      </w:pPr>
      <w:r w:rsidRPr="00E3508E">
        <w:rPr>
          <w:rFonts w:hint="cs"/>
          <w:rtl/>
        </w:rPr>
        <w:t>תועלת נוספת שתצמח מהצעת החוק היא חסכון כלכלי של סכומים עצומים המושקעים באכיפת החוק, והקלה על העומס הרב ממילא שיש על מערכת המשפט, אשר נאלצת לטפל באלפי תיקים פליליים בגין שימוש והחזקה של קנבוס לשימוש עצמי מדי שנה. את הסכומים שיחסכו ניתן יהיה להפנות לטיפולי במכורים לסמים קשים, לחינוך ולהסברה.</w:t>
      </w:r>
    </w:p>
    <w:p w:rsidR="002B1FCF" w:rsidP="00E3508E" w:rsidRDefault="002B1FCF" w14:paraId="2465E0D0" w14:textId="3CB00F07">
      <w:pPr>
        <w:pStyle w:val="Hesber"/>
        <w:rPr>
          <w:rtl/>
        </w:rPr>
      </w:pPr>
      <w:r w:rsidRPr="00E3508E">
        <w:rPr>
          <w:rtl/>
        </w:rPr>
        <w:t xml:space="preserve">הצעת חוק זהה הונחה על שולחן הכנסת העשרים </w:t>
      </w:r>
      <w:r w:rsidRPr="00E3508E">
        <w:rPr>
          <w:rFonts w:hint="cs"/>
          <w:rtl/>
        </w:rPr>
        <w:t>ושלוש</w:t>
      </w:r>
      <w:r w:rsidRPr="00E3508E">
        <w:rPr>
          <w:rtl/>
        </w:rPr>
        <w:t xml:space="preserve"> על ידי חברת הכנסת תמר זנדברג (פ/</w:t>
      </w:r>
      <w:r w:rsidRPr="00E3508E">
        <w:rPr>
          <w:rFonts w:hint="cs"/>
          <w:rtl/>
        </w:rPr>
        <w:t>1355</w:t>
      </w:r>
      <w:r w:rsidRPr="00E3508E">
        <w:rPr>
          <w:rtl/>
        </w:rPr>
        <w:t>/</w:t>
      </w:r>
      <w:r w:rsidRPr="00E3508E">
        <w:rPr>
          <w:rFonts w:hint="cs"/>
          <w:rtl/>
        </w:rPr>
        <w:t>23</w:t>
      </w:r>
      <w:r w:rsidRPr="00E3508E">
        <w:rPr>
          <w:rtl/>
        </w:rPr>
        <w:t>).</w:t>
      </w:r>
    </w:p>
    <w:p w:rsidR="00C029E0" w:rsidP="00E3508E" w:rsidRDefault="00C029E0" w14:paraId="56A291D6" w14:textId="1A1F291D">
      <w:pPr>
        <w:pStyle w:val="Hesber"/>
        <w:rPr>
          <w:rtl/>
        </w:rPr>
      </w:pPr>
      <w:r>
        <w:rPr>
          <w:rFonts w:hint="cs"/>
          <w:rtl/>
        </w:rPr>
        <w:t xml:space="preserve">הצעת חוק דומה בעיקרה הונחה על שולחן הכנסת העשרים ושלוש </w:t>
      </w:r>
      <w:r w:rsidRPr="005D053C">
        <w:rPr>
          <w:rFonts w:hint="cs"/>
          <w:rtl/>
        </w:rPr>
        <w:t>על ידי חברת הכנסת שרן השכל וקבוצת חברי הכנסת (פ/2547/20).</w:t>
      </w:r>
    </w:p>
    <w:p w:rsidRPr="005D053C" w:rsidR="00896519" w:rsidP="00896519" w:rsidRDefault="00D84DB8" w14:paraId="3E03C45B" w14:textId="4EB9FA52">
      <w:pPr>
        <w:pStyle w:val="Hesber"/>
        <w:rPr>
          <w:rtl/>
        </w:rPr>
      </w:pPr>
      <w:r>
        <w:rPr>
          <w:rFonts w:ascii="David" w:hAnsi="David"/>
          <w:sz w:val="26"/>
          <w:rtl/>
        </w:rPr>
        <w:t>הצע</w:t>
      </w:r>
      <w:r>
        <w:rPr>
          <w:rFonts w:hint="cs" w:ascii="David" w:hAnsi="David"/>
          <w:sz w:val="26"/>
          <w:rtl/>
        </w:rPr>
        <w:t>ת החוק</w:t>
      </w:r>
      <w:r w:rsidRPr="000B5ADC" w:rsidR="00896519">
        <w:rPr>
          <w:rFonts w:ascii="David" w:hAnsi="David"/>
          <w:sz w:val="26"/>
          <w:rtl/>
        </w:rPr>
        <w:t xml:space="preserve"> זהה ל</w:t>
      </w:r>
      <w:bookmarkStart w:name="_GoBack" w:id="8"/>
      <w:bookmarkEnd w:id="8"/>
      <w:r w:rsidRPr="000B5ADC" w:rsidR="00896519">
        <w:rPr>
          <w:rFonts w:ascii="David" w:hAnsi="David"/>
          <w:sz w:val="26"/>
          <w:rtl/>
        </w:rPr>
        <w:t>פ/</w:t>
      </w:r>
      <w:r w:rsidR="00896519">
        <w:rPr>
          <w:rFonts w:hint="cs" w:ascii="David" w:hAnsi="David"/>
          <w:sz w:val="26"/>
          <w:rtl/>
        </w:rPr>
        <w:t>1355/23</w:t>
      </w:r>
      <w:r w:rsidRPr="000B5ADC" w:rsidR="00896519">
        <w:rPr>
          <w:rFonts w:ascii="David" w:hAnsi="David"/>
          <w:sz w:val="26"/>
          <w:rtl/>
        </w:rPr>
        <w:t xml:space="preserve"> ולפיכך לא נבדקה מחדש על ידי הלשכה המשפטית של הכנסת</w:t>
      </w:r>
      <w:r w:rsidR="00896519">
        <w:rPr>
          <w:rFonts w:hint="cs"/>
          <w:rtl/>
        </w:rPr>
        <w:t>.</w:t>
      </w:r>
    </w:p>
    <w:p w:rsidRPr="00C029E0" w:rsidR="00896519" w:rsidP="00E3508E" w:rsidRDefault="00896519" w14:paraId="6C637170" w14:textId="77777777">
      <w:pPr>
        <w:pStyle w:val="Hesber"/>
        <w:rPr>
          <w:rtl/>
        </w:rPr>
      </w:pPr>
    </w:p>
    <w:p w:rsidRPr="00CC1E83" w:rsidR="00E13C27" w:rsidP="00CC1E83" w:rsidRDefault="00E13C27" w14:paraId="7F6961CB" w14:textId="77777777">
      <w:pPr>
        <w:pStyle w:val="Hesber"/>
        <w:rPr>
          <w:rtl/>
        </w:rPr>
      </w:pPr>
    </w:p>
    <w:p>
      <w:pPr>
        <w:jc w:val="left"/>
        <w:spacing w:before="0" w:after="0" w:line="276" w:lineRule="auto"/>
      </w:pPr>
      <w:bookmarkStart w:name="selectedDocDateB" w:id="9"/>
      <w:bookmarkEnd w:id="9"/>
      <w:r/>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Pr="00CC1E83" w:rsidR="00E13C27" w:rsidSect="00E3508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0383D29"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84DB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3508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CA2A29E" w14:textId="77777777" w:rsidR="00351D20" w:rsidRDefault="00351D20" w:rsidP="00351D20">
      <w:pPr>
        <w:pStyle w:val="a4"/>
      </w:pPr>
      <w:r>
        <w:rPr>
          <w:rStyle w:val="a6"/>
        </w:rPr>
        <w:footnoteRef/>
      </w:r>
      <w:r>
        <w:rPr>
          <w:rtl/>
        </w:rPr>
        <w:t xml:space="preserve"> דיני מדינת ישראל, נוסח חדש 27, עמ' 526.</w:t>
      </w:r>
    </w:p>
  </w:footnote>
  <w:footnote w:id="3">
    <w:p w14:paraId="06457985" w14:textId="77777777" w:rsidR="00351D20" w:rsidRDefault="00351D20" w:rsidP="00351D20">
      <w:pPr>
        <w:pStyle w:val="a4"/>
        <w:rPr>
          <w:rtl/>
        </w:rPr>
      </w:pPr>
      <w:r>
        <w:rPr>
          <w:rStyle w:val="a6"/>
        </w:rPr>
        <w:footnoteRef/>
      </w:r>
      <w:r>
        <w:rPr>
          <w:rtl/>
        </w:rPr>
        <w:t xml:space="preserve"> </w:t>
      </w:r>
      <w:r>
        <w:rPr>
          <w:rFonts w:hint="cs"/>
          <w:rtl/>
        </w:rPr>
        <w:t>ס"ח התשמ"ג, עמ' 148.</w:t>
      </w:r>
    </w:p>
  </w:footnote>
  <w:footnote w:id="4">
    <w:p w14:paraId="562E47D3" w14:textId="77777777" w:rsidR="00D84DB8" w:rsidRDefault="00D84DB8" w:rsidP="00351D20">
      <w:pPr>
        <w:pStyle w:val="a4"/>
      </w:pPr>
      <w:r>
        <w:rPr>
          <w:rStyle w:val="a6"/>
        </w:rPr>
        <w:footnoteRef/>
      </w:r>
      <w:r>
        <w:rPr>
          <w:rtl/>
        </w:rPr>
        <w:t xml:space="preserve"> ס"ח התשע"ט, עמ' 298.</w:t>
      </w:r>
    </w:p>
  </w:footnote>
  <w:footnote w:id="5">
    <w:p w14:paraId="49BBD337" w14:textId="77777777" w:rsidR="00D84DB8" w:rsidRDefault="00D84DB8" w:rsidP="00351D20">
      <w:pPr>
        <w:pStyle w:val="a4"/>
      </w:pPr>
      <w:r>
        <w:rPr>
          <w:rStyle w:val="a6"/>
        </w:rPr>
        <w:footnoteRef/>
      </w:r>
      <w:r>
        <w:rPr>
          <w:rtl/>
        </w:rPr>
        <w:t xml:space="preserve"> </w:t>
      </w:r>
      <w:r>
        <w:rPr>
          <w:rFonts w:hint="cs"/>
          <w:rtl/>
        </w:rPr>
        <w:t>ס"ח התשע"ח, עמ' 916.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1FCF"/>
    <w:rsid w:val="002C2E29"/>
    <w:rsid w:val="002C3041"/>
    <w:rsid w:val="002D1EE3"/>
    <w:rsid w:val="002F1D80"/>
    <w:rsid w:val="003232A2"/>
    <w:rsid w:val="00325C14"/>
    <w:rsid w:val="00351D20"/>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651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29E0"/>
    <w:rsid w:val="00C23B1A"/>
    <w:rsid w:val="00C310EB"/>
    <w:rsid w:val="00C9176A"/>
    <w:rsid w:val="00CC1E83"/>
    <w:rsid w:val="00CF1AA2"/>
    <w:rsid w:val="00D142D3"/>
    <w:rsid w:val="00D17774"/>
    <w:rsid w:val="00D63620"/>
    <w:rsid w:val="00D8410D"/>
    <w:rsid w:val="00D84DB8"/>
    <w:rsid w:val="00D867D7"/>
    <w:rsid w:val="00DB7060"/>
    <w:rsid w:val="00DE3153"/>
    <w:rsid w:val="00E06736"/>
    <w:rsid w:val="00E13C27"/>
    <w:rsid w:val="00E33BBD"/>
    <w:rsid w:val="00E3508E"/>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14783D3-8DCA-4B63-B48F-1F54C83E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E8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C1E8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C1E8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C1E8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C1E8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C1E83"/>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C1E8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C1E83"/>
    <w:rPr>
      <w:sz w:val="36"/>
      <w:szCs w:val="52"/>
    </w:rPr>
  </w:style>
  <w:style w:type="paragraph" w:customStyle="1" w:styleId="Cover3-Haknesset">
    <w:name w:val="Cover 3-Haknesset"/>
    <w:basedOn w:val="Cover1-Reshumot"/>
    <w:rsid w:val="00CC1E83"/>
    <w:rPr>
      <w:b/>
      <w:bCs/>
      <w:spacing w:val="60"/>
    </w:rPr>
  </w:style>
  <w:style w:type="paragraph" w:customStyle="1" w:styleId="Cover4-Date">
    <w:name w:val="Cover 4-Date"/>
    <w:basedOn w:val="a"/>
    <w:rsid w:val="00CC1E8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C1E8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C1E8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C1E83"/>
    <w:pPr>
      <w:spacing w:before="120" w:after="120"/>
    </w:pPr>
    <w:rPr>
      <w:color w:val="FF0000"/>
      <w:w w:val="80"/>
    </w:rPr>
  </w:style>
  <w:style w:type="paragraph" w:styleId="a3">
    <w:name w:val="endnote text"/>
    <w:basedOn w:val="a"/>
    <w:semiHidden/>
    <w:rsid w:val="00CC1E83"/>
    <w:pPr>
      <w:ind w:left="227" w:hanging="227"/>
    </w:pPr>
    <w:rPr>
      <w:sz w:val="14"/>
      <w:szCs w:val="22"/>
    </w:rPr>
  </w:style>
  <w:style w:type="paragraph" w:customStyle="1" w:styleId="TableText">
    <w:name w:val="Table Text"/>
    <w:basedOn w:val="a"/>
    <w:rsid w:val="00CC1E8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C1E83"/>
    <w:pPr>
      <w:outlineLvl w:val="2"/>
    </w:pPr>
  </w:style>
  <w:style w:type="paragraph" w:customStyle="1" w:styleId="TableBlock">
    <w:name w:val="Table Block"/>
    <w:basedOn w:val="TableText"/>
    <w:rsid w:val="00CC1E83"/>
    <w:pPr>
      <w:jc w:val="both"/>
    </w:pPr>
  </w:style>
  <w:style w:type="paragraph" w:customStyle="1" w:styleId="TableHead">
    <w:name w:val="Table Head"/>
    <w:basedOn w:val="TableText"/>
    <w:rsid w:val="00CC1E8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C1E83"/>
    <w:pPr>
      <w:outlineLvl w:val="9"/>
    </w:pPr>
  </w:style>
  <w:style w:type="paragraph" w:customStyle="1" w:styleId="Hesber">
    <w:name w:val="Hesber"/>
    <w:basedOn w:val="a"/>
    <w:rsid w:val="00CC1E83"/>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CC1E83"/>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CC1E83"/>
    <w:rPr>
      <w:vertAlign w:val="superscript"/>
    </w:rPr>
  </w:style>
  <w:style w:type="paragraph" w:customStyle="1" w:styleId="HesberHeading">
    <w:name w:val="Hesber Heading"/>
    <w:basedOn w:val="Hesber"/>
    <w:rsid w:val="00CC1E83"/>
    <w:pPr>
      <w:tabs>
        <w:tab w:val="left" w:pos="624"/>
        <w:tab w:val="left" w:pos="1247"/>
      </w:tabs>
    </w:pPr>
    <w:rPr>
      <w:b/>
      <w:bCs/>
    </w:rPr>
  </w:style>
  <w:style w:type="paragraph" w:customStyle="1" w:styleId="HesberWriters">
    <w:name w:val="Hesber Writers"/>
    <w:basedOn w:val="Hesber"/>
    <w:rsid w:val="00CC1E83"/>
    <w:pPr>
      <w:spacing w:before="120" w:after="120"/>
      <w:ind w:left="1418"/>
      <w:jc w:val="right"/>
    </w:pPr>
    <w:rPr>
      <w:b/>
      <w:bCs/>
    </w:rPr>
  </w:style>
  <w:style w:type="paragraph" w:customStyle="1" w:styleId="Hesber1st">
    <w:name w:val="Hesber 1st"/>
    <w:basedOn w:val="Hesber"/>
    <w:rsid w:val="00CC1E83"/>
    <w:pPr>
      <w:tabs>
        <w:tab w:val="left" w:pos="680"/>
        <w:tab w:val="left" w:pos="1020"/>
      </w:tabs>
      <w:ind w:firstLine="0"/>
    </w:pPr>
  </w:style>
  <w:style w:type="character" w:styleId="a7">
    <w:name w:val="endnote reference"/>
    <w:basedOn w:val="a0"/>
    <w:semiHidden/>
    <w:rsid w:val="00CC1E83"/>
    <w:rPr>
      <w:vertAlign w:val="superscript"/>
    </w:rPr>
  </w:style>
  <w:style w:type="paragraph" w:customStyle="1" w:styleId="TableBlockOutdent">
    <w:name w:val="Table BlockOutdent"/>
    <w:basedOn w:val="TableBlock"/>
    <w:rsid w:val="00CC1E83"/>
    <w:pPr>
      <w:ind w:left="624" w:hanging="624"/>
    </w:pPr>
  </w:style>
  <w:style w:type="paragraph" w:styleId="a8">
    <w:name w:val="header"/>
    <w:basedOn w:val="a"/>
    <w:rsid w:val="00CC1E83"/>
    <w:pPr>
      <w:tabs>
        <w:tab w:val="center" w:pos="4153"/>
        <w:tab w:val="right" w:pos="8306"/>
      </w:tabs>
    </w:pPr>
  </w:style>
  <w:style w:type="paragraph" w:styleId="a9">
    <w:name w:val="footer"/>
    <w:basedOn w:val="a"/>
    <w:rsid w:val="00CC1E83"/>
    <w:pPr>
      <w:tabs>
        <w:tab w:val="center" w:pos="4153"/>
        <w:tab w:val="right" w:pos="8306"/>
      </w:tabs>
    </w:pPr>
  </w:style>
  <w:style w:type="paragraph" w:customStyle="1" w:styleId="HeadDivreiHesber">
    <w:name w:val="Head DivreiHesber"/>
    <w:basedOn w:val="a"/>
    <w:rsid w:val="00CC1E8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C1E83"/>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CC1E8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51D20"/>
    <w:rPr>
      <w:rFonts w:ascii="Arial" w:eastAsia="Arial Unicode MS" w:hAnsi="Arial" w:cs="David"/>
      <w:snapToGrid w:val="0"/>
      <w:sz w:val="14"/>
    </w:rPr>
  </w:style>
  <w:style w:type="character" w:customStyle="1" w:styleId="10">
    <w:name w:val="כותרת 1 תו"/>
    <w:basedOn w:val="a0"/>
    <w:link w:val="1"/>
    <w:uiPriority w:val="9"/>
    <w:rsid w:val="00CC1E83"/>
    <w:rPr>
      <w:rFonts w:asciiTheme="majorHAnsi" w:eastAsiaTheme="majorEastAsia" w:hAnsiTheme="majorHAnsi" w:cs="David"/>
      <w:bCs/>
      <w:sz w:val="32"/>
      <w:szCs w:val="36"/>
    </w:rPr>
  </w:style>
  <w:style w:type="character" w:customStyle="1" w:styleId="20">
    <w:name w:val="כותרת 2 תו"/>
    <w:basedOn w:val="a0"/>
    <w:link w:val="2"/>
    <w:rsid w:val="00CC1E83"/>
    <w:rPr>
      <w:rFonts w:asciiTheme="majorHAnsi" w:eastAsiaTheme="majorEastAsia" w:hAnsiTheme="majorHAnsi" w:cs="David"/>
      <w:bCs/>
      <w:sz w:val="26"/>
      <w:szCs w:val="36"/>
      <w:u w:val="single"/>
    </w:rPr>
  </w:style>
  <w:style w:type="character" w:customStyle="1" w:styleId="30">
    <w:name w:val="כותרת 3 תו"/>
    <w:basedOn w:val="a0"/>
    <w:link w:val="3"/>
    <w:rsid w:val="00CC1E83"/>
    <w:rPr>
      <w:rFonts w:asciiTheme="majorHAnsi" w:eastAsiaTheme="majorEastAsia" w:hAnsiTheme="majorHAnsi" w:cs="David"/>
      <w:sz w:val="24"/>
      <w:szCs w:val="28"/>
      <w:u w:val="double"/>
    </w:rPr>
  </w:style>
  <w:style w:type="character" w:customStyle="1" w:styleId="40">
    <w:name w:val="כותרת 4 תו"/>
    <w:basedOn w:val="a0"/>
    <w:link w:val="4"/>
    <w:uiPriority w:val="9"/>
    <w:rsid w:val="00CC1E8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C1E83"/>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C1E83"/>
    <w:pPr>
      <w:widowControl/>
      <w:spacing w:before="120" w:after="120"/>
      <w:outlineLvl w:val="9"/>
    </w:pPr>
    <w:rPr>
      <w:rtl/>
      <w:cs/>
    </w:rPr>
  </w:style>
  <w:style w:type="paragraph" w:styleId="TOC1">
    <w:name w:val="toc 1"/>
    <w:basedOn w:val="a"/>
    <w:next w:val="a"/>
    <w:autoRedefine/>
    <w:uiPriority w:val="39"/>
    <w:unhideWhenUsed/>
    <w:rsid w:val="00CC1E83"/>
    <w:pPr>
      <w:tabs>
        <w:tab w:val="right" w:leader="dot" w:pos="9629"/>
      </w:tabs>
      <w:spacing w:after="100"/>
    </w:pPr>
    <w:rPr>
      <w:bCs/>
      <w:szCs w:val="22"/>
    </w:rPr>
  </w:style>
  <w:style w:type="paragraph" w:styleId="TOC2">
    <w:name w:val="toc 2"/>
    <w:basedOn w:val="a"/>
    <w:next w:val="a"/>
    <w:uiPriority w:val="39"/>
    <w:unhideWhenUsed/>
    <w:rsid w:val="00CC1E83"/>
    <w:pPr>
      <w:tabs>
        <w:tab w:val="right" w:leader="dot" w:pos="9628"/>
      </w:tabs>
      <w:spacing w:after="100"/>
    </w:pPr>
    <w:rPr>
      <w:szCs w:val="22"/>
    </w:rPr>
  </w:style>
  <w:style w:type="character" w:styleId="Hyperlink">
    <w:name w:val="Hyperlink"/>
    <w:basedOn w:val="a0"/>
    <w:uiPriority w:val="99"/>
    <w:unhideWhenUsed/>
    <w:rsid w:val="00CC1E83"/>
    <w:rPr>
      <w:color w:val="0000FF" w:themeColor="hyperlink"/>
      <w:u w:val="single"/>
    </w:rPr>
  </w:style>
  <w:style w:type="paragraph" w:styleId="TOC3">
    <w:name w:val="toc 3"/>
    <w:basedOn w:val="a"/>
    <w:next w:val="a"/>
    <w:uiPriority w:val="39"/>
    <w:unhideWhenUsed/>
    <w:rsid w:val="00CC1E8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CC1E8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C1E83"/>
    <w:pPr>
      <w:tabs>
        <w:tab w:val="right" w:leader="dot" w:pos="9628"/>
      </w:tabs>
      <w:spacing w:after="100"/>
      <w:ind w:left="567"/>
    </w:pPr>
    <w:rPr>
      <w:szCs w:val="22"/>
    </w:rPr>
  </w:style>
  <w:style w:type="paragraph" w:styleId="TOC6">
    <w:name w:val="toc 6"/>
    <w:basedOn w:val="a"/>
    <w:next w:val="a"/>
    <w:autoRedefine/>
    <w:semiHidden/>
    <w:unhideWhenUsed/>
    <w:rsid w:val="00CC1E83"/>
    <w:pPr>
      <w:spacing w:after="100"/>
      <w:ind w:left="850"/>
    </w:pPr>
  </w:style>
  <w:style w:type="paragraph" w:styleId="TOC7">
    <w:name w:val="toc 7"/>
    <w:basedOn w:val="a"/>
    <w:next w:val="a"/>
    <w:autoRedefine/>
    <w:semiHidden/>
    <w:unhideWhenUsed/>
    <w:rsid w:val="00CC1E83"/>
    <w:pPr>
      <w:spacing w:after="100"/>
      <w:ind w:left="1020"/>
    </w:pPr>
  </w:style>
  <w:style w:type="paragraph" w:styleId="TOC8">
    <w:name w:val="toc 8"/>
    <w:basedOn w:val="a"/>
    <w:next w:val="a"/>
    <w:autoRedefine/>
    <w:semiHidden/>
    <w:unhideWhenUsed/>
    <w:rsid w:val="00CC1E83"/>
    <w:pPr>
      <w:spacing w:after="100"/>
      <w:ind w:left="1190"/>
    </w:pPr>
  </w:style>
  <w:style w:type="paragraph" w:styleId="TOC9">
    <w:name w:val="toc 9"/>
    <w:basedOn w:val="a"/>
    <w:next w:val="a"/>
    <w:autoRedefine/>
    <w:semiHidden/>
    <w:unhideWhenUsed/>
    <w:rsid w:val="00CC1E83"/>
    <w:pPr>
      <w:spacing w:after="100"/>
      <w:ind w:left="1360"/>
    </w:pPr>
  </w:style>
  <w:style w:type="paragraph" w:customStyle="1" w:styleId="TableHead2">
    <w:name w:val="Table Head2"/>
    <w:basedOn w:val="TableHead"/>
    <w:qFormat/>
    <w:rsid w:val="00CC1E83"/>
    <w:pPr>
      <w:outlineLvl w:val="9"/>
    </w:pPr>
  </w:style>
  <w:style w:type="paragraph" w:customStyle="1" w:styleId="TableSideHeading2">
    <w:name w:val="Table SideHeading2"/>
    <w:basedOn w:val="TableSideHeading"/>
    <w:autoRedefine/>
    <w:qFormat/>
    <w:rsid w:val="00CC1E83"/>
    <w:pPr>
      <w:keepLines w:val="0"/>
      <w:outlineLvl w:val="9"/>
    </w:pPr>
  </w:style>
  <w:style w:type="paragraph" w:customStyle="1" w:styleId="0">
    <w:name w:val="סגנון שורה ראשונה:  0  ס''מ"/>
    <w:basedOn w:val="2"/>
    <w:rsid w:val="00CC1E83"/>
    <w:rPr>
      <w:rFonts w:eastAsia="Times New Roman"/>
    </w:rPr>
  </w:style>
  <w:style w:type="paragraph" w:styleId="af">
    <w:name w:val="List Paragraph"/>
    <w:basedOn w:val="a"/>
    <w:uiPriority w:val="34"/>
    <w:qFormat/>
    <w:rsid w:val="00CC1E83"/>
    <w:pPr>
      <w:widowControl/>
      <w:spacing w:line="259" w:lineRule="auto"/>
    </w:pPr>
    <w:rPr>
      <w:rFonts w:asciiTheme="minorHAnsi" w:hAnsiTheme="minorHAnsi"/>
      <w:sz w:val="22"/>
    </w:rPr>
  </w:style>
  <w:style w:type="table" w:styleId="af0">
    <w:name w:val="Table Grid"/>
    <w:basedOn w:val="a1"/>
    <w:rsid w:val="00CC1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C1E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C1E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C1E8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C1E83"/>
    <w:tblPr/>
    <w:tblStylePr w:type="firstCol">
      <w:pPr>
        <w:keepNext w:val="0"/>
        <w:keepLines/>
        <w:pageBreakBefore w:val="0"/>
        <w:widowControl w:val="0"/>
        <w:suppressLineNumbers w:val="0"/>
        <w:suppressAutoHyphens w:val="0"/>
        <w:wordWrap/>
      </w:pPr>
    </w:tblStylePr>
  </w:style>
  <w:style w:type="paragraph" w:styleId="af2">
    <w:name w:val="Revision"/>
    <w:hidden/>
    <w:uiPriority w:val="99"/>
    <w:semiHidden/>
    <w:rsid w:val="00E3508E"/>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7ED3-7645-4697-A69F-601419609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E21C779-784C-4887-81E1-F83A2759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538</Words>
  <Characters>3070</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2013-07-04T08:25:00Z</cp:lastPrinted>
  <dcterms:created xsi:type="dcterms:W3CDTF">2015-04-20T09:58:00Z</dcterms:created>
  <dcterms:modified xsi:type="dcterms:W3CDTF">2021-04-22T06:16:00Z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2156092</vt:r8>
  </property>
</Properties>
</file>