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35A2" w:rsidR="002C2E29" w:rsidP="00E635A2" w:rsidRDefault="004033D8" w14:paraId="7F6961A1" w14:textId="77777777">
      <w:pPr>
        <w:jc w:val="right"/>
        <w:rPr>
          <w:b/>
          <w:bCs/>
          <w:sz w:val="20"/>
          <w:szCs w:val="20"/>
        </w:rPr>
      </w:pPr>
      <w:r w:rsidRPr="00E635A2">
        <w:rPr>
          <w:rFonts w:hint="cs"/>
          <w:sz w:val="20"/>
          <w:szCs w:val="20"/>
          <w:rtl/>
        </w:rPr>
        <w:t xml:space="preserve">מספר פנימי: </w:t>
      </w:r>
      <w:bookmarkStart w:name="LGS_Internal_ID" w:id="0"/>
      <w:r>
        <w:rPr>
          <w:rFonts w:hint="cs"/>
          <w:sz w:val="20"/>
          <w:szCs w:val="20"/>
          <w:rtl/>
        </w:rPr>
        <w:t>2156106</w:t>
      </w:r>
      <w:bookmarkEnd w:id="0"/>
    </w:p>
    <w:p w:rsidRPr="00DB7060" w:rsidR="00E13C27" w:rsidP="00A443CF" w:rsidRDefault="00E13C27" w14:paraId="7F6961A2" w14:textId="53D639AE">
      <w:pPr>
        <w:pStyle w:val="HeadHatzaotHok"/>
        <w:rPr>
          <w:sz w:val="28"/>
          <w:szCs w:val="28"/>
          <w:rtl/>
        </w:rPr>
      </w:pPr>
      <w:r w:rsidRPr="00DB7060">
        <w:rPr>
          <w:rFonts w:hint="cs"/>
          <w:sz w:val="28"/>
          <w:szCs w:val="28"/>
          <w:rtl/>
        </w:rPr>
        <w:t xml:space="preserve">הכנסת </w:t>
      </w:r>
      <w:bookmarkStart w:name="LGS_Knesset_Num" w:id="1"/>
      <w:r>
        <w:rPr>
          <w:rFonts w:hint="cs"/>
          <w:sz w:val="28"/>
          <w:szCs w:val="28"/>
          <w:rtl/>
        </w:rPr>
        <w:t>העשרים וארבע</w:t>
      </w:r>
      <w:bookmarkEnd w:id="1"/>
    </w:p>
    <w:p w:rsidRPr="00F67051" w:rsidR="00E13C27" w:rsidP="00E13C27" w:rsidRDefault="00E13C27" w14:paraId="7F6961A3" w14:textId="77777777">
      <w:pPr>
        <w:rPr>
          <w:b/>
          <w:bCs/>
          <w:sz w:val="26"/>
          <w:szCs w:val="26"/>
          <w:rtl/>
        </w:rPr>
      </w:pPr>
    </w:p>
    <w:p w:rsidR="00E13C27" w:rsidP="00930EFE" w:rsidRDefault="008F6665" w14:paraId="7F6961A6" w14:textId="77777777">
      <w:pPr>
        <w:pStyle w:val="David"/>
        <w:ind w:left="3544"/>
        <w:rPr>
          <w:b/>
          <w:bCs/>
          <w:rtl/>
        </w:rPr>
      </w:pPr>
      <w:bookmarkStart w:name="LGS_Initiators_List" w:id="2"/>
      <w:r>
        <w:rPr>
          <w:b/>
          <w:bCs/>
          <w:rtl/>
        </w:rPr>
        <w:t>יוזם:</w:t>
      </w:r>
      <w:r>
        <w:tab/>
      </w:r>
      <w:r>
        <w:rPr>
          <w:b/>
          <w:bCs/>
          <w:rtl/>
        </w:rPr>
        <w:t xml:space="preserve">      חבר הכנסת</w:t>
      </w:r>
      <w:bookmarkEnd w:id="2"/>
      <w:r w:rsidRPr="00F67051" w:rsidR="00B35784">
        <w:rPr>
          <w:b/>
          <w:bCs/>
        </w:rPr>
        <w:tab/>
      </w:r>
      <w:bookmarkStart w:name="LGS_PM_Names" w:id="3"/>
      <w:r>
        <w:rPr>
          <w:rFonts w:hint="cs"/>
          <w:b/>
          <w:bCs/>
          <w:rtl/>
        </w:rPr>
        <w:t>עידן רול</w:t>
      </w:r>
      <w:bookmarkEnd w:id="3"/>
    </w:p>
    <w:p w:rsidRPr="00904591" w:rsidR="00904591" w:rsidP="0036422C" w:rsidRDefault="00266D86" w14:paraId="34DB4103" w14:textId="77777777">
      <w:pPr>
        <w:pStyle w:val="David"/>
        <w:ind w:left="3544"/>
        <w:rPr>
          <w:sz w:val="4"/>
          <w:szCs w:val="4"/>
          <w:rtl/>
        </w:rPr>
      </w:pPr>
      <w:r>
        <w:t>____</w:t>
      </w:r>
      <w:r w:rsidR="00E374F2">
        <w:t>__</w:t>
      </w:r>
      <w:r>
        <w:t>________________________________________</w:t>
      </w:r>
      <w:r w:rsidRPr="00E06736" w:rsidR="00E06736">
        <w:tab/>
      </w:r>
      <w:r w:rsidRPr="00E06736" w:rsidR="00E13C27">
        <w:rPr>
          <w:rFonts w:hint="cs"/>
          <w:rtl/>
        </w:rPr>
        <w:tab/>
      </w:r>
      <w:r w:rsidRPr="00E06736" w:rsidR="00E13C27">
        <w:rPr>
          <w:rFonts w:hint="cs"/>
          <w:rtl/>
        </w:rPr>
        <w:tab/>
      </w:r>
      <w:r w:rsidRPr="00E06736" w:rsidR="00E13C27">
        <w:rPr>
          <w:rFonts w:hint="cs"/>
          <w:rtl/>
        </w:rPr>
        <w:tab/>
      </w:r>
      <w:r w:rsidR="00904591">
        <w:t xml:space="preserve">           </w:t>
      </w:r>
    </w:p>
    <w:p w:rsidRPr="00E06736" w:rsidR="00E13C27" w:rsidP="002A2D25" w:rsidRDefault="00904591" w14:paraId="7F6961AB" w14:textId="2EACAD26">
      <w:pPr>
        <w:pStyle w:val="David"/>
        <w:spacing w:line="240" w:lineRule="auto"/>
        <w:ind w:left="3544"/>
        <w:rPr>
          <w:rtl/>
        </w:rPr>
      </w:pPr>
      <w:r>
        <w:t xml:space="preserve"> </w:t>
      </w:r>
      <w:bookmarkStart w:name="Private_Number" w:id="4"/>
      <w:r w:rsidR="002A2D25">
        <w:rPr>
          <w:rtl/>
        </w:rPr>
        <w:tab/>
      </w:r>
      <w:r w:rsidR="002A2D25">
        <w:rPr>
          <w:rtl/>
        </w:rPr>
        <w:tab/>
      </w:r>
      <w:r w:rsidR="002A2D25">
        <w:rPr>
          <w:rtl/>
        </w:rPr>
        <w:tab/>
      </w:r>
      <w:r w:rsidR="002A2D25">
        <w:rPr>
          <w:rtl/>
        </w:rPr>
        <w:tab/>
      </w:r>
      <w:r>
        <w:rPr>
          <w:rFonts w:hint="cs"/>
          <w:rtl/>
        </w:rPr>
        <w:t>פ/123/24</w:t>
      </w:r>
      <w:bookmarkEnd w:id="4"/>
    </w:p>
    <w:p w:rsidR="00E13C27" w:rsidP="00E13C27" w:rsidRDefault="00E13C27" w14:paraId="7F6961AC" w14:textId="77777777">
      <w:pPr>
        <w:ind w:left="2880" w:firstLine="720"/>
        <w:rPr>
          <w:sz w:val="26"/>
          <w:szCs w:val="26"/>
          <w:rtl/>
        </w:rPr>
      </w:pPr>
    </w:p>
    <w:p w:rsidRPr="00F67051" w:rsidR="00E13C27" w:rsidP="002A2D25" w:rsidRDefault="00A443CF" w14:paraId="7F6961AD" w14:textId="592057C5">
      <w:pPr>
        <w:pStyle w:val="HeadHatzaotHok"/>
        <w:rPr>
          <w:rtl/>
        </w:rPr>
      </w:pPr>
      <w:bookmarkStart w:name="LGS_Subject" w:id="5"/>
      <w:r>
        <w:rPr>
          <w:rFonts w:hint="cs"/>
          <w:rtl/>
        </w:rPr>
        <w:t xml:space="preserve">הצעת חוק לתיקון פקודת מס הכנסה (ניכוי הוצאות כיבוד לפגישה מחוץ למקום העיסוק), </w:t>
      </w:r>
      <w:r w:rsidR="002A2D25">
        <w:rPr>
          <w:rtl/>
        </w:rPr>
        <w:br/>
      </w:r>
      <w:r>
        <w:rPr>
          <w:rFonts w:hint="cs"/>
          <w:rtl/>
        </w:rPr>
        <w:t>התשפ"א</w:t>
      </w:r>
      <w:r w:rsidR="002A2D25">
        <w:rPr>
          <w:rFonts w:hint="eastAsia"/>
          <w:rtl/>
        </w:rPr>
        <w:t>–</w:t>
      </w:r>
      <w:r>
        <w:rPr>
          <w:rFonts w:hint="cs"/>
          <w:rtl/>
        </w:rPr>
        <w:t>2021</w:t>
      </w:r>
      <w:bookmarkEnd w:id="5"/>
    </w:p>
    <w:p w:rsidR="00E13C27" w:rsidP="0021633A" w:rsidRDefault="00E13C27" w14:paraId="7F6961AE" w14:textId="77777777">
      <w:pPr>
        <w:pStyle w:val="HeadDivreiHesber"/>
        <w:spacing w:before="0" w:after="0"/>
        <w:rPr>
          <w:rtl/>
        </w:rPr>
      </w:pPr>
    </w:p>
    <w:tbl>
      <w:tblPr>
        <w:bidiVisual/>
        <w:tblW w:w="9636" w:type="dxa"/>
        <w:tblLayout w:type="fixed"/>
        <w:tblCellMar>
          <w:top w:w="57" w:type="dxa"/>
          <w:left w:w="0" w:type="dxa"/>
          <w:bottom w:w="57" w:type="dxa"/>
          <w:right w:w="0" w:type="dxa"/>
        </w:tblCellMar>
        <w:tblLook w:val="0000" w:firstRow="0" w:lastRow="0" w:firstColumn="0" w:lastColumn="0" w:noHBand="0" w:noVBand="0"/>
      </w:tblPr>
      <w:tblGrid>
        <w:gridCol w:w="1869"/>
        <w:gridCol w:w="624"/>
        <w:gridCol w:w="7143"/>
      </w:tblGrid>
      <w:tr w:rsidRPr="00101AD6" w:rsidR="00DE7357" w:rsidTr="002A2D25" w14:paraId="4849F543" w14:textId="77777777">
        <w:trPr>
          <w:cantSplit/>
        </w:trPr>
        <w:tc>
          <w:tcPr>
            <w:tcW w:w="1869" w:type="dxa"/>
            <w:shd w:val="clear" w:color="auto" w:fill="auto"/>
            <w:tcMar>
              <w:top w:w="91" w:type="dxa"/>
              <w:left w:w="0" w:type="dxa"/>
              <w:bottom w:w="91" w:type="dxa"/>
              <w:right w:w="0" w:type="dxa"/>
            </w:tcMar>
          </w:tcPr>
          <w:p w:rsidRPr="00101AD6" w:rsidR="00DE7357" w:rsidP="009B697F" w:rsidRDefault="00DE7357" w14:paraId="072C8837" w14:textId="77777777">
            <w:pPr>
              <w:pStyle w:val="TableSideHeading"/>
              <w:rPr>
                <w:rtl/>
              </w:rPr>
            </w:pPr>
            <w:r>
              <w:rPr>
                <w:rFonts w:hint="cs"/>
                <w:rtl/>
              </w:rPr>
              <w:t>תיקון סעיף 17</w:t>
            </w:r>
          </w:p>
        </w:tc>
        <w:tc>
          <w:tcPr>
            <w:tcW w:w="624" w:type="dxa"/>
            <w:shd w:val="clear" w:color="auto" w:fill="auto"/>
            <w:tcMar>
              <w:top w:w="91" w:type="dxa"/>
              <w:left w:w="0" w:type="dxa"/>
              <w:bottom w:w="91" w:type="dxa"/>
              <w:right w:w="0" w:type="dxa"/>
            </w:tcMar>
          </w:tcPr>
          <w:p w:rsidRPr="00101AD6" w:rsidR="00DE7357" w:rsidP="009B697F" w:rsidRDefault="00DE7357" w14:paraId="52724A05" w14:textId="77777777">
            <w:pPr>
              <w:pStyle w:val="TableText"/>
              <w:jc w:val="both"/>
              <w:rPr>
                <w:rtl/>
              </w:rPr>
            </w:pPr>
            <w:r>
              <w:rPr>
                <w:rFonts w:hint="cs"/>
                <w:rtl/>
              </w:rPr>
              <w:t>1</w:t>
            </w:r>
            <w:r w:rsidRPr="00101AD6">
              <w:rPr>
                <w:rtl/>
              </w:rPr>
              <w:t>.</w:t>
            </w:r>
          </w:p>
        </w:tc>
        <w:tc>
          <w:tcPr>
            <w:tcW w:w="7143" w:type="dxa"/>
            <w:shd w:val="clear" w:color="auto" w:fill="auto"/>
            <w:tcMar>
              <w:top w:w="91" w:type="dxa"/>
              <w:left w:w="0" w:type="dxa"/>
              <w:bottom w:w="91" w:type="dxa"/>
              <w:right w:w="0" w:type="dxa"/>
            </w:tcMar>
          </w:tcPr>
          <w:p w:rsidRPr="00101AD6" w:rsidR="00DE7357" w:rsidP="002A2D25" w:rsidRDefault="00DE7357" w14:paraId="058E89D2" w14:textId="77777777">
            <w:pPr>
              <w:pStyle w:val="TableBlock"/>
              <w:rPr>
                <w:rtl/>
              </w:rPr>
            </w:pPr>
            <w:r>
              <w:rPr>
                <w:rFonts w:hint="cs"/>
                <w:rtl/>
              </w:rPr>
              <w:t>בפקודת מס הכנסה</w:t>
            </w:r>
            <w:r w:rsidRPr="002A2D25">
              <w:rPr>
                <w:rStyle w:val="a6"/>
                <w:rFonts w:ascii="David" w:hAnsi="David"/>
                <w:sz w:val="26"/>
                <w:rtl/>
              </w:rPr>
              <w:footnoteReference w:id="2"/>
            </w:r>
            <w:r>
              <w:rPr>
                <w:rFonts w:hint="cs"/>
                <w:rtl/>
              </w:rPr>
              <w:t>, ב</w:t>
            </w:r>
            <w:r w:rsidRPr="00101AD6">
              <w:rPr>
                <w:rtl/>
              </w:rPr>
              <w:t xml:space="preserve">סעיף </w:t>
            </w:r>
            <w:r>
              <w:rPr>
                <w:rFonts w:hint="cs"/>
                <w:rtl/>
              </w:rPr>
              <w:t>17, אחרי פסקה (15)</w:t>
            </w:r>
            <w:r w:rsidRPr="00101AD6">
              <w:rPr>
                <w:rtl/>
              </w:rPr>
              <w:t xml:space="preserve"> יבוא:</w:t>
            </w:r>
          </w:p>
        </w:tc>
      </w:tr>
      <w:tr w:rsidRPr="00101AD6" w:rsidR="00DE7357" w:rsidTr="002A2D25" w14:paraId="4CC334DA" w14:textId="77777777">
        <w:trPr>
          <w:cantSplit/>
        </w:trPr>
        <w:tc>
          <w:tcPr>
            <w:tcW w:w="1869" w:type="dxa"/>
            <w:shd w:val="clear" w:color="auto" w:fill="auto"/>
            <w:tcMar>
              <w:top w:w="91" w:type="dxa"/>
              <w:left w:w="0" w:type="dxa"/>
              <w:bottom w:w="91" w:type="dxa"/>
              <w:right w:w="0" w:type="dxa"/>
            </w:tcMar>
          </w:tcPr>
          <w:p w:rsidR="00DE7357" w:rsidP="009B697F" w:rsidRDefault="00DE7357" w14:paraId="5852D91D" w14:textId="77777777">
            <w:pPr>
              <w:pStyle w:val="TableSideHeading"/>
              <w:rPr>
                <w:rtl/>
              </w:rPr>
            </w:pPr>
          </w:p>
        </w:tc>
        <w:tc>
          <w:tcPr>
            <w:tcW w:w="624" w:type="dxa"/>
            <w:shd w:val="clear" w:color="auto" w:fill="auto"/>
            <w:tcMar>
              <w:top w:w="91" w:type="dxa"/>
              <w:left w:w="0" w:type="dxa"/>
              <w:bottom w:w="91" w:type="dxa"/>
              <w:right w:w="0" w:type="dxa"/>
            </w:tcMar>
          </w:tcPr>
          <w:p w:rsidR="00DE7357" w:rsidP="009B697F" w:rsidRDefault="00DE7357" w14:paraId="7D601C33" w14:textId="77777777">
            <w:pPr>
              <w:pStyle w:val="TableText"/>
              <w:jc w:val="both"/>
              <w:rPr>
                <w:rtl/>
              </w:rPr>
            </w:pPr>
          </w:p>
        </w:tc>
        <w:tc>
          <w:tcPr>
            <w:tcW w:w="7143" w:type="dxa"/>
            <w:shd w:val="clear" w:color="auto" w:fill="auto"/>
            <w:tcMar>
              <w:top w:w="91" w:type="dxa"/>
              <w:left w:w="0" w:type="dxa"/>
              <w:bottom w:w="91" w:type="dxa"/>
              <w:right w:w="0" w:type="dxa"/>
            </w:tcMar>
          </w:tcPr>
          <w:p w:rsidRPr="00101AD6" w:rsidR="00DE7357" w:rsidP="002A2D25" w:rsidRDefault="00DE7357" w14:paraId="6B26DB98" w14:textId="77777777">
            <w:pPr>
              <w:pStyle w:val="TableBlock"/>
              <w:rPr>
                <w:rtl/>
              </w:rPr>
            </w:pPr>
            <w:r>
              <w:rPr>
                <w:rFonts w:hint="cs"/>
                <w:rtl/>
              </w:rPr>
              <w:t>"(16)</w:t>
            </w:r>
            <w:r>
              <w:rPr>
                <w:rtl/>
              </w:rPr>
              <w:tab/>
            </w:r>
            <w:r w:rsidRPr="00634415">
              <w:rPr>
                <w:rtl/>
              </w:rPr>
              <w:t xml:space="preserve">80% </w:t>
            </w:r>
            <w:r>
              <w:rPr>
                <w:rFonts w:hint="cs"/>
                <w:rtl/>
              </w:rPr>
              <w:t xml:space="preserve">מסכומים ששילם יחיד עבור </w:t>
            </w:r>
            <w:r w:rsidRPr="00634415">
              <w:rPr>
                <w:rtl/>
              </w:rPr>
              <w:t xml:space="preserve">כיבוד קל </w:t>
            </w:r>
            <w:r>
              <w:rPr>
                <w:rFonts w:hint="cs"/>
                <w:rtl/>
              </w:rPr>
              <w:t>לשם קיום פגישת עבודה עם לקוח או ספק מחוץ ל</w:t>
            </w:r>
            <w:r w:rsidRPr="00634415">
              <w:rPr>
                <w:rtl/>
              </w:rPr>
              <w:t>מקום העיסוק של הנישום</w:t>
            </w:r>
            <w:r w:rsidRPr="009D1364">
              <w:rPr>
                <w:rtl/>
              </w:rPr>
              <w:t xml:space="preserve"> </w:t>
            </w:r>
            <w:r>
              <w:rPr>
                <w:rFonts w:hint="cs"/>
                <w:rtl/>
              </w:rPr>
              <w:t>ובתנאי ש</w:t>
            </w:r>
            <w:r w:rsidRPr="009D1364">
              <w:rPr>
                <w:rtl/>
              </w:rPr>
              <w:t xml:space="preserve">הגיש הנישום מסמכים או קבלות לאימות ההוצאות להנחת דעתו של פקיד השומה וכן הוכחות אחרות כפי שיקבע </w:t>
            </w:r>
            <w:r>
              <w:rPr>
                <w:rFonts w:hint="cs"/>
                <w:rtl/>
              </w:rPr>
              <w:t>המנהל; ניכוי לפי סעיף זה יותר עד לשיעור של 4% ממחזור העסקאות של הנישום ולא יותר מ-12,000 שקלים חדשים בשנה; בפסקה זו,</w:t>
            </w:r>
            <w:r>
              <w:rPr>
                <w:rtl/>
              </w:rPr>
              <w:t xml:space="preserve"> "</w:t>
            </w:r>
            <w:r>
              <w:rPr>
                <w:rFonts w:hint="cs"/>
                <w:rtl/>
              </w:rPr>
              <w:t xml:space="preserve">כיבוד קל" </w:t>
            </w:r>
            <w:r>
              <w:rPr>
                <w:rtl/>
              </w:rPr>
              <w:t>–</w:t>
            </w:r>
            <w:r>
              <w:rPr>
                <w:rFonts w:hint="cs"/>
                <w:rtl/>
              </w:rPr>
              <w:t xml:space="preserve"> שתייה חמה או קרה, ירקות ופירות, מאפים, עוגיות ופריטים נוספים כפי שיקבע השר בתקנות באישור ועדת הכספים."</w:t>
            </w:r>
          </w:p>
        </w:tc>
      </w:tr>
    </w:tbl>
    <w:p w:rsidR="002D1EE3" w:rsidP="002D1EE3" w:rsidRDefault="002D1EE3" w14:paraId="7F6961CA" w14:textId="77777777">
      <w:pPr>
        <w:pStyle w:val="HeadDivreiHesber"/>
        <w:rPr>
          <w:rtl/>
        </w:rPr>
      </w:pPr>
      <w:r w:rsidRPr="0027450A">
        <w:rPr>
          <w:rFonts w:hint="cs"/>
          <w:rtl/>
        </w:rPr>
        <w:t>דברי הסבר</w:t>
      </w:r>
    </w:p>
    <w:p w:rsidR="00DE7357" w:rsidP="00DE7357" w:rsidRDefault="00DE7357" w14:paraId="4C88D243" w14:textId="77777777">
      <w:pPr>
        <w:pStyle w:val="Hesber"/>
        <w:rPr>
          <w:rFonts w:ascii="David" w:hAnsi="David"/>
          <w:sz w:val="26"/>
          <w:rtl/>
        </w:rPr>
      </w:pPr>
      <w:r>
        <w:rPr>
          <w:rFonts w:hint="cs" w:ascii="David" w:hAnsi="David"/>
          <w:sz w:val="26"/>
          <w:rtl/>
        </w:rPr>
        <w:t>בעקבות ההתפתחויות הטכנולוגיות והתפתחות המשק והכלכלה, משתנים גם נוהגים ומנהגים לגבי האופן בו עסקים מתקשרים האחד עם השני ועם לקוחות. התפשטות נגיף הקורונה בעולם ובישראל אף מאיצה חלק מהתהליכים והשינויים שחווה המשק והתאמתו לשוק מקוון וגמיש הרבה יותר. כך, יותר ויותר בעלי עסקים ועובדיהם עוברים לעבוד ולייצר הכנסה הן מביתם והן ובמקומות מזדמנים.</w:t>
      </w:r>
      <w:r w:rsidRPr="00A45977">
        <w:rPr>
          <w:rFonts w:hint="cs" w:ascii="David" w:hAnsi="David"/>
          <w:sz w:val="26"/>
          <w:rtl/>
        </w:rPr>
        <w:t xml:space="preserve"> </w:t>
      </w:r>
    </w:p>
    <w:p w:rsidR="00DE7357" w:rsidP="00DE7357" w:rsidRDefault="00DE7357" w14:paraId="37F7421C" w14:textId="77777777">
      <w:pPr>
        <w:pStyle w:val="Hesber"/>
        <w:rPr>
          <w:rFonts w:ascii="David" w:hAnsi="David"/>
          <w:sz w:val="26"/>
          <w:rtl/>
        </w:rPr>
      </w:pPr>
      <w:r>
        <w:rPr>
          <w:rFonts w:hint="cs" w:ascii="David" w:hAnsi="David"/>
          <w:sz w:val="26"/>
          <w:rtl/>
        </w:rPr>
        <w:t>הדין הקיים אינו מתאים עוד בהכרח לפרדיגמות העבודה שהיו נהוגות, עת נקבעו התקנות האוסרות על ביצוע ניכויים בגין כיבוד קל שלא ניתן במקום העסק. על פי תקנה 2 ל</w:t>
      </w:r>
      <w:r w:rsidRPr="00A45977">
        <w:rPr>
          <w:rFonts w:ascii="David" w:hAnsi="David"/>
          <w:sz w:val="26"/>
          <w:rtl/>
        </w:rPr>
        <w:t xml:space="preserve">תקנות מס הכנסה (ניכוי הוצאות מסוימות), </w:t>
      </w:r>
      <w:r>
        <w:rPr>
          <w:rFonts w:hint="cs" w:ascii="David" w:hAnsi="David"/>
          <w:sz w:val="26"/>
          <w:rtl/>
        </w:rPr>
        <w:t>ה</w:t>
      </w:r>
      <w:r>
        <w:rPr>
          <w:rFonts w:ascii="David" w:hAnsi="David"/>
          <w:sz w:val="26"/>
          <w:rtl/>
        </w:rPr>
        <w:t>תשל"ב–</w:t>
      </w:r>
      <w:r w:rsidRPr="00A45977">
        <w:rPr>
          <w:rFonts w:ascii="David" w:hAnsi="David"/>
          <w:sz w:val="26"/>
          <w:rtl/>
        </w:rPr>
        <w:t>1972</w:t>
      </w:r>
      <w:r>
        <w:rPr>
          <w:rFonts w:hint="cs" w:ascii="David" w:hAnsi="David"/>
          <w:sz w:val="26"/>
          <w:rtl/>
        </w:rPr>
        <w:t>, מותרים לניכוי</w:t>
      </w:r>
      <w:r w:rsidRPr="00A45977">
        <w:rPr>
          <w:rFonts w:ascii="David" w:hAnsi="David"/>
          <w:sz w:val="26"/>
          <w:rtl/>
        </w:rPr>
        <w:t xml:space="preserve"> 80% מההוצאות שהוצאו לכיבוד קל</w:t>
      </w:r>
      <w:r>
        <w:rPr>
          <w:rFonts w:hint="cs" w:ascii="David" w:hAnsi="David"/>
          <w:sz w:val="26"/>
          <w:rtl/>
        </w:rPr>
        <w:t xml:space="preserve"> רק</w:t>
      </w:r>
      <w:r w:rsidRPr="00A45977">
        <w:rPr>
          <w:rFonts w:ascii="David" w:hAnsi="David"/>
          <w:sz w:val="26"/>
          <w:rtl/>
        </w:rPr>
        <w:t xml:space="preserve"> במקום העיסוק של הנישום</w:t>
      </w:r>
      <w:r>
        <w:rPr>
          <w:rFonts w:hint="cs" w:ascii="David" w:hAnsi="David"/>
          <w:sz w:val="26"/>
          <w:rtl/>
        </w:rPr>
        <w:t xml:space="preserve">. על פי התקנה, </w:t>
      </w:r>
      <w:r w:rsidRPr="00A45977">
        <w:rPr>
          <w:rFonts w:ascii="David" w:hAnsi="David"/>
          <w:sz w:val="26"/>
          <w:rtl/>
        </w:rPr>
        <w:t>"כיבוד קל"</w:t>
      </w:r>
      <w:r>
        <w:rPr>
          <w:rFonts w:hint="cs" w:ascii="David" w:hAnsi="David"/>
          <w:sz w:val="26"/>
          <w:rtl/>
        </w:rPr>
        <w:t xml:space="preserve"> מוגדר כ</w:t>
      </w:r>
      <w:r w:rsidRPr="00A45977">
        <w:rPr>
          <w:rFonts w:ascii="David" w:hAnsi="David"/>
          <w:sz w:val="26"/>
          <w:rtl/>
        </w:rPr>
        <w:t>שת</w:t>
      </w:r>
      <w:r>
        <w:rPr>
          <w:rFonts w:hint="cs" w:ascii="David" w:hAnsi="David"/>
          <w:sz w:val="26"/>
          <w:rtl/>
        </w:rPr>
        <w:t>י</w:t>
      </w:r>
      <w:r w:rsidRPr="00A45977">
        <w:rPr>
          <w:rFonts w:ascii="David" w:hAnsi="David"/>
          <w:sz w:val="26"/>
          <w:rtl/>
        </w:rPr>
        <w:t>יה קרה או חמה, עוגיות וכיוצא באלה</w:t>
      </w:r>
      <w:r>
        <w:rPr>
          <w:rFonts w:hint="cs" w:ascii="David" w:hAnsi="David"/>
          <w:sz w:val="26"/>
          <w:rtl/>
        </w:rPr>
        <w:t xml:space="preserve">. יחד עם זאת, כן מותר ניכוי של </w:t>
      </w:r>
      <w:r w:rsidRPr="00C13D0E">
        <w:rPr>
          <w:rFonts w:ascii="David" w:hAnsi="David"/>
          <w:sz w:val="26"/>
          <w:rtl/>
        </w:rPr>
        <w:t>הוצאה סבירה לאירוח אדם מחוץ-לארץ</w:t>
      </w:r>
      <w:r>
        <w:rPr>
          <w:rFonts w:hint="cs" w:ascii="David" w:hAnsi="David"/>
          <w:sz w:val="26"/>
          <w:rtl/>
        </w:rPr>
        <w:t xml:space="preserve"> (סעיף 3 לתקנות).</w:t>
      </w:r>
    </w:p>
    <w:p w:rsidR="00DE7357" w:rsidP="00DE7357" w:rsidRDefault="00DE7357" w14:paraId="23B009FC" w14:textId="77777777">
      <w:pPr>
        <w:pStyle w:val="Hesber"/>
        <w:rPr>
          <w:rFonts w:ascii="David" w:hAnsi="David"/>
          <w:sz w:val="26"/>
          <w:rtl/>
        </w:rPr>
      </w:pPr>
      <w:r>
        <w:rPr>
          <w:rFonts w:hint="cs" w:ascii="David" w:hAnsi="David"/>
          <w:sz w:val="26"/>
          <w:rtl/>
        </w:rPr>
        <w:t>כחלק מהשינויים הנזכרים לעיל</w:t>
      </w:r>
      <w:r w:rsidRPr="00D104EF">
        <w:rPr>
          <w:rFonts w:hint="cs" w:ascii="David" w:hAnsi="David"/>
          <w:sz w:val="26"/>
          <w:rtl/>
        </w:rPr>
        <w:t xml:space="preserve"> </w:t>
      </w:r>
      <w:r>
        <w:rPr>
          <w:rFonts w:hint="cs" w:ascii="David" w:hAnsi="David"/>
          <w:sz w:val="26"/>
          <w:rtl/>
        </w:rPr>
        <w:t xml:space="preserve">בכלכלה הישראלית, ישנם עצמאים ובעלי עסקים הבוחרים שלא לשכור משרד קבוע, על העלויות הנלוות הכרוכות בכך. כמו כן, חלק ממנגנוני ייצור ההכנסה העדכניים </w:t>
      </w:r>
      <w:r>
        <w:rPr>
          <w:rFonts w:hint="cs" w:ascii="David" w:hAnsi="David"/>
          <w:sz w:val="26"/>
          <w:rtl/>
        </w:rPr>
        <w:lastRenderedPageBreak/>
        <w:t>(כגון קיום משא ומתן, התקשרות ושימור לקוחות) גם בעסקים שיש להם מקום קבוע, עוברים למקומות ניטרליים בהם מוגש כיבוד קל.</w:t>
      </w:r>
    </w:p>
    <w:p w:rsidR="00DE7357" w:rsidP="00DE7357" w:rsidRDefault="00DE7357" w14:paraId="337BCBE9" w14:textId="77777777">
      <w:pPr>
        <w:pStyle w:val="Hesber"/>
        <w:rPr>
          <w:rtl/>
        </w:rPr>
      </w:pPr>
      <w:r>
        <w:rPr>
          <w:rFonts w:hint="cs" w:ascii="David" w:hAnsi="David"/>
          <w:sz w:val="26"/>
          <w:rtl/>
        </w:rPr>
        <w:t>על מנת להתאים את הדין הקיים לאופן ייצור ההכנסה המותאם לזמננו מהטעמים המפורטים לעיל, מוצע לאפשר ניכוי 80% מהוצאות לכיבוד קל, גם מחוץ למ</w:t>
      </w:r>
      <w:r w:rsidRPr="00136C22">
        <w:rPr>
          <w:rFonts w:ascii="David" w:hAnsi="David"/>
          <w:sz w:val="26"/>
          <w:rtl/>
        </w:rPr>
        <w:t>קום העיסוק של הנישום</w:t>
      </w:r>
      <w:r>
        <w:rPr>
          <w:rFonts w:hint="cs" w:ascii="David" w:hAnsi="David"/>
          <w:sz w:val="26"/>
          <w:rtl/>
        </w:rPr>
        <w:t xml:space="preserve">. עוד מוצע להגביל את גובה הניכוי המותר בשנה עד לשיעור של 4 אחוזים </w:t>
      </w:r>
      <w:r>
        <w:rPr>
          <w:rFonts w:hint="cs"/>
          <w:rtl/>
        </w:rPr>
        <w:t>ממחזור העסקאות של הנישום ולא יותר מ-12,000 שקלים חדשים בשנה.</w:t>
      </w:r>
    </w:p>
    <w:p w:rsidR="00DE7357" w:rsidP="002A2D25" w:rsidRDefault="00DE7357" w14:paraId="54954C68" w14:textId="72576779">
      <w:pPr>
        <w:pStyle w:val="Hesber"/>
        <w:rPr>
          <w:rtl/>
        </w:rPr>
      </w:pPr>
      <w:r>
        <w:rPr>
          <w:rFonts w:hint="cs"/>
          <w:rtl/>
        </w:rPr>
        <w:t>הצעת חוק זהה הונחה על שולחן הכנסת העשרים ושלוש על ידי חבר הכנסת עידן ר</w:t>
      </w:r>
      <w:r w:rsidR="002A2D25">
        <w:rPr>
          <w:rFonts w:hint="cs"/>
          <w:rtl/>
        </w:rPr>
        <w:t xml:space="preserve">ול וקבוצת חברי כנסת (פ/2393/23), </w:t>
      </w:r>
      <w:r w:rsidRPr="000B5ADC" w:rsidR="00A42BD3">
        <w:rPr>
          <w:rFonts w:ascii="David" w:hAnsi="David"/>
          <w:sz w:val="26"/>
          <w:rtl/>
        </w:rPr>
        <w:t>ולפיכך לא נבדקה מחדש על ידי הלשכה המשפטית של הכנסת</w:t>
      </w:r>
      <w:r w:rsidR="00A42BD3">
        <w:rPr>
          <w:rFonts w:hint="cs" w:ascii="David" w:hAnsi="David"/>
          <w:sz w:val="26"/>
          <w:rtl/>
        </w:rPr>
        <w:t>.</w:t>
      </w:r>
      <w:bookmarkStart w:name="_GoBack" w:id="6"/>
      <w:bookmarkEnd w:id="6"/>
      <w:r w:rsidR="002A2D25">
        <w:rPr>
          <w:rtl/>
        </w:rPr>
        <w:t xml:space="preserve"> </w:t>
      </w:r>
    </w:p>
    <w:p w:rsidR="00E13C27" w:rsidP="00E13C27" w:rsidRDefault="00E13C27" w14:paraId="7F6961CB" w14:textId="77777777">
      <w:pPr>
        <w:pStyle w:val="Hesber"/>
        <w:rPr>
          <w:rtl/>
        </w:rPr>
      </w:pPr>
    </w:p>
    <w:p>
      <w:pPr>
        <w:jc w:val="left"/>
        <w:spacing w:before="0" w:after="0" w:line="276" w:lineRule="auto"/>
      </w:pPr>
      <w:bookmarkStart w:name="selectedDocDateB" w:id="9"/>
      <w:bookmarkEnd w:id="9"/>
      <w:r/>
      <w:p>
        <w:pPr>
          <w:jc w:val="left"/>
          <w:spacing w:before="0" w:after="0" w:line="360" w:lineRule="auto"/>
        </w:pPr>
        <w:r>
          <w:rPr>
            <w:rtl/>
            <w:rFonts w:hint="cs" w:ascii="David" w:hAnsi="David" w:eastAsia="David" w:cs="David"/>
            <w:sz w:val="26"/>
            <w:szCs w:val="26"/>
          </w:rPr>
          <w:t>--------------------------------</w:t>
        </w:r>
      </w:p>
      <w:p>
        <w:pPr>
          <w:jc w:val="left"/>
          <w:spacing w:before="0" w:after="0" w:line="360" w:lineRule="auto"/>
        </w:pPr>
        <w:r>
          <w:rPr>
            <w:rtl/>
            <w:rFonts w:hint="cs" w:ascii="David" w:hAnsi="David" w:eastAsia="David" w:cs="David"/>
            <w:sz w:val="26"/>
            <w:szCs w:val="26"/>
          </w:rPr>
          <w:t>הוגשה ליו"ר הכנסת והסגנים</w:t>
        </w:r>
      </w:p>
      <w:p>
        <w:pPr>
          <w:jc w:val="left"/>
          <w:spacing w:before="0" w:after="0" w:line="360" w:lineRule="auto"/>
        </w:pPr>
        <w:r>
          <w:rPr>
            <w:rtl/>
            <w:rFonts w:hint="cs" w:ascii="David" w:hAnsi="David" w:eastAsia="David" w:cs="David"/>
            <w:sz w:val="26"/>
            <w:szCs w:val="26"/>
          </w:rPr>
          <w:t>והונחה על שולחן הכנסת ביום</w:t>
        </w:r>
      </w:p>
      <w:p>
        <w:pPr>
          <w:jc w:val="left"/>
          <w:spacing w:before="0" w:after="0" w:line="360" w:lineRule="auto"/>
        </w:pPr>
        <w:r>
          <w:rPr>
            <w:rtl/>
            <w:rFonts w:hint="cs" w:ascii="David" w:hAnsi="David" w:eastAsia="David" w:cs="David"/>
            <w:sz w:val="26"/>
            <w:szCs w:val="26"/>
          </w:rPr>
          <w:t xml:space="preserve">כ"א באייר התשפ"א</w:t>
          <w:t xml:space="preserve"> (03.05.2021) </w:t>
        </w:r>
      </w:p>
    </w:p>
    <w:sectPr w:rsidR="00E13C27" w:rsidSect="002A2D25">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2A2D25">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2A2D25">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7CF78EB" w14:textId="77777777" w:rsidR="00DE7357" w:rsidRDefault="00DE7357" w:rsidP="00DE7357">
      <w:pPr>
        <w:pStyle w:val="a4"/>
        <w:rPr>
          <w:rtl/>
        </w:rPr>
      </w:pPr>
      <w:r>
        <w:rPr>
          <w:rStyle w:val="a6"/>
        </w:rPr>
        <w:footnoteRef/>
      </w:r>
      <w:r>
        <w:rPr>
          <w:rtl/>
        </w:rPr>
        <w:t xml:space="preserve"> </w:t>
      </w:r>
      <w:r>
        <w:rPr>
          <w:rFonts w:hint="cs"/>
          <w:rtl/>
        </w:rPr>
        <w:t>דיני מדינת ישראל, נוסח חדש 6, עמ' 120.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5"/>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2D25"/>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85A0A"/>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2BD3"/>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DE7357"/>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861584C7-FE21-4548-BF43-9155A1B4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D25"/>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2A2D25"/>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2A2D25"/>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2A2D25"/>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2A2D25"/>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2A2D25"/>
    <w:pPr>
      <w:spacing w:line="259" w:lineRule="auto"/>
      <w:outlineLvl w:val="4"/>
    </w:pPr>
    <w:rPr>
      <w:color w:val="000000" w:themeColor="text1"/>
    </w:rPr>
  </w:style>
  <w:style w:type="character" w:default="1" w:styleId="a0">
    <w:name w:val="Default Paragraph Font"/>
    <w:uiPriority w:val="1"/>
    <w:semiHidden/>
    <w:unhideWhenUsed/>
    <w:rsid w:val="002A2D2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2A2D25"/>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2A2D25"/>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2A2D25"/>
    <w:rPr>
      <w:sz w:val="36"/>
      <w:szCs w:val="52"/>
    </w:rPr>
  </w:style>
  <w:style w:type="paragraph" w:customStyle="1" w:styleId="Cover3-Haknesset">
    <w:name w:val="Cover 3-Haknesset"/>
    <w:basedOn w:val="Cover1-Reshumot"/>
    <w:rsid w:val="002A2D25"/>
    <w:rPr>
      <w:b/>
      <w:bCs/>
      <w:spacing w:val="60"/>
    </w:rPr>
  </w:style>
  <w:style w:type="paragraph" w:customStyle="1" w:styleId="Cover4-Date">
    <w:name w:val="Cover 4-Date"/>
    <w:basedOn w:val="a"/>
    <w:rsid w:val="002A2D25"/>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2A2D25"/>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2A2D25"/>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2A2D25"/>
    <w:pPr>
      <w:spacing w:before="120" w:after="120"/>
    </w:pPr>
    <w:rPr>
      <w:color w:val="FF0000"/>
      <w:w w:val="80"/>
    </w:rPr>
  </w:style>
  <w:style w:type="paragraph" w:styleId="a3">
    <w:name w:val="endnote text"/>
    <w:basedOn w:val="a"/>
    <w:semiHidden/>
    <w:rsid w:val="002A2D25"/>
    <w:pPr>
      <w:ind w:left="227" w:hanging="227"/>
    </w:pPr>
    <w:rPr>
      <w:sz w:val="14"/>
      <w:szCs w:val="22"/>
    </w:rPr>
  </w:style>
  <w:style w:type="paragraph" w:customStyle="1" w:styleId="TableText">
    <w:name w:val="Table Text"/>
    <w:basedOn w:val="a"/>
    <w:rsid w:val="002A2D25"/>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2A2D25"/>
    <w:pPr>
      <w:outlineLvl w:val="2"/>
    </w:pPr>
  </w:style>
  <w:style w:type="paragraph" w:customStyle="1" w:styleId="TableBlock">
    <w:name w:val="Table Block"/>
    <w:basedOn w:val="TableText"/>
    <w:rsid w:val="002A2D25"/>
    <w:pPr>
      <w:jc w:val="both"/>
    </w:pPr>
  </w:style>
  <w:style w:type="paragraph" w:customStyle="1" w:styleId="TableHead">
    <w:name w:val="Table Head"/>
    <w:basedOn w:val="TableText"/>
    <w:rsid w:val="002A2D25"/>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2A2D25"/>
    <w:pPr>
      <w:outlineLvl w:val="9"/>
    </w:pPr>
  </w:style>
  <w:style w:type="paragraph" w:customStyle="1" w:styleId="Hesber">
    <w:name w:val="Hesber"/>
    <w:basedOn w:val="a"/>
    <w:rsid w:val="002A2D25"/>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2A2D25"/>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2A2D25"/>
    <w:rPr>
      <w:vertAlign w:val="superscript"/>
    </w:rPr>
  </w:style>
  <w:style w:type="paragraph" w:customStyle="1" w:styleId="HesberHeading">
    <w:name w:val="Hesber Heading"/>
    <w:basedOn w:val="Hesber"/>
    <w:rsid w:val="002A2D25"/>
    <w:pPr>
      <w:tabs>
        <w:tab w:val="left" w:pos="624"/>
        <w:tab w:val="left" w:pos="1247"/>
      </w:tabs>
    </w:pPr>
    <w:rPr>
      <w:b/>
      <w:bCs/>
    </w:rPr>
  </w:style>
  <w:style w:type="paragraph" w:customStyle="1" w:styleId="HesberWriters">
    <w:name w:val="Hesber Writers"/>
    <w:basedOn w:val="Hesber"/>
    <w:rsid w:val="002A2D25"/>
    <w:pPr>
      <w:spacing w:before="120" w:after="120"/>
      <w:ind w:left="1418"/>
      <w:jc w:val="right"/>
    </w:pPr>
    <w:rPr>
      <w:b/>
      <w:bCs/>
    </w:rPr>
  </w:style>
  <w:style w:type="paragraph" w:customStyle="1" w:styleId="Hesber1st">
    <w:name w:val="Hesber 1st"/>
    <w:basedOn w:val="Hesber"/>
    <w:rsid w:val="002A2D25"/>
    <w:pPr>
      <w:tabs>
        <w:tab w:val="left" w:pos="680"/>
        <w:tab w:val="left" w:pos="1020"/>
      </w:tabs>
      <w:ind w:firstLine="0"/>
    </w:pPr>
  </w:style>
  <w:style w:type="character" w:styleId="a7">
    <w:name w:val="endnote reference"/>
    <w:basedOn w:val="a0"/>
    <w:semiHidden/>
    <w:rsid w:val="002A2D25"/>
    <w:rPr>
      <w:vertAlign w:val="superscript"/>
    </w:rPr>
  </w:style>
  <w:style w:type="paragraph" w:customStyle="1" w:styleId="TableBlockOutdent">
    <w:name w:val="Table BlockOutdent"/>
    <w:basedOn w:val="TableBlock"/>
    <w:rsid w:val="002A2D25"/>
    <w:pPr>
      <w:ind w:left="624" w:hanging="624"/>
    </w:pPr>
  </w:style>
  <w:style w:type="paragraph" w:styleId="a8">
    <w:name w:val="header"/>
    <w:basedOn w:val="a"/>
    <w:rsid w:val="002A2D25"/>
    <w:pPr>
      <w:tabs>
        <w:tab w:val="center" w:pos="4153"/>
        <w:tab w:val="right" w:pos="8306"/>
      </w:tabs>
    </w:pPr>
  </w:style>
  <w:style w:type="paragraph" w:styleId="a9">
    <w:name w:val="footer"/>
    <w:basedOn w:val="a"/>
    <w:rsid w:val="002A2D25"/>
    <w:pPr>
      <w:tabs>
        <w:tab w:val="center" w:pos="4153"/>
        <w:tab w:val="right" w:pos="8306"/>
      </w:tabs>
    </w:pPr>
  </w:style>
  <w:style w:type="paragraph" w:customStyle="1" w:styleId="HeadDivreiHesber">
    <w:name w:val="Head DivreiHesber"/>
    <w:basedOn w:val="a"/>
    <w:rsid w:val="002A2D25"/>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2A2D25"/>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2A2D25"/>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DE7357"/>
    <w:rPr>
      <w:rFonts w:ascii="Arial" w:eastAsia="Arial Unicode MS" w:hAnsi="Arial" w:cs="David"/>
      <w:snapToGrid w:val="0"/>
      <w:sz w:val="14"/>
    </w:rPr>
  </w:style>
  <w:style w:type="character" w:customStyle="1" w:styleId="10">
    <w:name w:val="כותרת 1 תו"/>
    <w:basedOn w:val="a0"/>
    <w:link w:val="1"/>
    <w:uiPriority w:val="9"/>
    <w:rsid w:val="002A2D25"/>
    <w:rPr>
      <w:rFonts w:asciiTheme="majorHAnsi" w:eastAsiaTheme="majorEastAsia" w:hAnsiTheme="majorHAnsi" w:cs="David"/>
      <w:bCs/>
      <w:sz w:val="32"/>
      <w:szCs w:val="36"/>
    </w:rPr>
  </w:style>
  <w:style w:type="character" w:customStyle="1" w:styleId="20">
    <w:name w:val="כותרת 2 תו"/>
    <w:basedOn w:val="a0"/>
    <w:link w:val="2"/>
    <w:rsid w:val="002A2D25"/>
    <w:rPr>
      <w:rFonts w:asciiTheme="majorHAnsi" w:eastAsiaTheme="majorEastAsia" w:hAnsiTheme="majorHAnsi" w:cs="David"/>
      <w:bCs/>
      <w:sz w:val="26"/>
      <w:szCs w:val="36"/>
      <w:u w:val="single"/>
    </w:rPr>
  </w:style>
  <w:style w:type="character" w:customStyle="1" w:styleId="30">
    <w:name w:val="כותרת 3 תו"/>
    <w:basedOn w:val="a0"/>
    <w:link w:val="3"/>
    <w:rsid w:val="002A2D25"/>
    <w:rPr>
      <w:rFonts w:asciiTheme="majorHAnsi" w:eastAsiaTheme="majorEastAsia" w:hAnsiTheme="majorHAnsi" w:cs="David"/>
      <w:sz w:val="24"/>
      <w:szCs w:val="28"/>
      <w:u w:val="double"/>
    </w:rPr>
  </w:style>
  <w:style w:type="character" w:customStyle="1" w:styleId="40">
    <w:name w:val="כותרת 4 תו"/>
    <w:basedOn w:val="a0"/>
    <w:link w:val="4"/>
    <w:uiPriority w:val="9"/>
    <w:rsid w:val="002A2D25"/>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2A2D25"/>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2A2D25"/>
    <w:pPr>
      <w:widowControl/>
      <w:spacing w:before="120" w:after="120"/>
      <w:outlineLvl w:val="9"/>
    </w:pPr>
    <w:rPr>
      <w:rtl/>
      <w:cs/>
    </w:rPr>
  </w:style>
  <w:style w:type="paragraph" w:styleId="TOC1">
    <w:name w:val="toc 1"/>
    <w:basedOn w:val="a"/>
    <w:next w:val="a"/>
    <w:autoRedefine/>
    <w:uiPriority w:val="39"/>
    <w:unhideWhenUsed/>
    <w:rsid w:val="002A2D25"/>
    <w:pPr>
      <w:tabs>
        <w:tab w:val="right" w:leader="dot" w:pos="9629"/>
      </w:tabs>
      <w:spacing w:after="100"/>
    </w:pPr>
    <w:rPr>
      <w:bCs/>
      <w:szCs w:val="22"/>
    </w:rPr>
  </w:style>
  <w:style w:type="paragraph" w:styleId="TOC2">
    <w:name w:val="toc 2"/>
    <w:basedOn w:val="a"/>
    <w:next w:val="a"/>
    <w:uiPriority w:val="39"/>
    <w:unhideWhenUsed/>
    <w:rsid w:val="002A2D25"/>
    <w:pPr>
      <w:tabs>
        <w:tab w:val="right" w:leader="dot" w:pos="9628"/>
      </w:tabs>
      <w:spacing w:after="100"/>
    </w:pPr>
    <w:rPr>
      <w:szCs w:val="22"/>
    </w:rPr>
  </w:style>
  <w:style w:type="character" w:styleId="Hyperlink">
    <w:name w:val="Hyperlink"/>
    <w:basedOn w:val="a0"/>
    <w:uiPriority w:val="99"/>
    <w:unhideWhenUsed/>
    <w:rsid w:val="002A2D25"/>
    <w:rPr>
      <w:color w:val="0000FF" w:themeColor="hyperlink"/>
      <w:u w:val="single"/>
    </w:rPr>
  </w:style>
  <w:style w:type="paragraph" w:styleId="TOC3">
    <w:name w:val="toc 3"/>
    <w:basedOn w:val="a"/>
    <w:next w:val="a"/>
    <w:uiPriority w:val="39"/>
    <w:unhideWhenUsed/>
    <w:rsid w:val="002A2D25"/>
    <w:pPr>
      <w:tabs>
        <w:tab w:val="right" w:leader="dot" w:pos="9629"/>
      </w:tabs>
      <w:spacing w:after="100"/>
      <w:ind w:left="567"/>
    </w:pPr>
    <w:rPr>
      <w:szCs w:val="22"/>
    </w:rPr>
  </w:style>
  <w:style w:type="paragraph" w:styleId="TOC4">
    <w:name w:val="toc 4"/>
    <w:basedOn w:val="a"/>
    <w:next w:val="a"/>
    <w:autoRedefine/>
    <w:unhideWhenUsed/>
    <w:qFormat/>
    <w:rsid w:val="002A2D25"/>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2A2D25"/>
    <w:pPr>
      <w:tabs>
        <w:tab w:val="right" w:leader="dot" w:pos="9628"/>
      </w:tabs>
      <w:spacing w:after="100"/>
      <w:ind w:left="567"/>
    </w:pPr>
    <w:rPr>
      <w:szCs w:val="22"/>
    </w:rPr>
  </w:style>
  <w:style w:type="paragraph" w:styleId="TOC6">
    <w:name w:val="toc 6"/>
    <w:basedOn w:val="a"/>
    <w:next w:val="a"/>
    <w:autoRedefine/>
    <w:semiHidden/>
    <w:unhideWhenUsed/>
    <w:rsid w:val="002A2D25"/>
    <w:pPr>
      <w:spacing w:after="100"/>
      <w:ind w:left="850"/>
    </w:pPr>
  </w:style>
  <w:style w:type="paragraph" w:styleId="TOC7">
    <w:name w:val="toc 7"/>
    <w:basedOn w:val="a"/>
    <w:next w:val="a"/>
    <w:autoRedefine/>
    <w:semiHidden/>
    <w:unhideWhenUsed/>
    <w:rsid w:val="002A2D25"/>
    <w:pPr>
      <w:spacing w:after="100"/>
      <w:ind w:left="1020"/>
    </w:pPr>
  </w:style>
  <w:style w:type="paragraph" w:styleId="TOC8">
    <w:name w:val="toc 8"/>
    <w:basedOn w:val="a"/>
    <w:next w:val="a"/>
    <w:autoRedefine/>
    <w:semiHidden/>
    <w:unhideWhenUsed/>
    <w:rsid w:val="002A2D25"/>
    <w:pPr>
      <w:spacing w:after="100"/>
      <w:ind w:left="1190"/>
    </w:pPr>
  </w:style>
  <w:style w:type="paragraph" w:styleId="TOC9">
    <w:name w:val="toc 9"/>
    <w:basedOn w:val="a"/>
    <w:next w:val="a"/>
    <w:autoRedefine/>
    <w:semiHidden/>
    <w:unhideWhenUsed/>
    <w:rsid w:val="002A2D25"/>
    <w:pPr>
      <w:spacing w:after="100"/>
      <w:ind w:left="1360"/>
    </w:pPr>
  </w:style>
  <w:style w:type="paragraph" w:customStyle="1" w:styleId="TableHead2">
    <w:name w:val="Table Head2"/>
    <w:basedOn w:val="TableHead"/>
    <w:qFormat/>
    <w:rsid w:val="002A2D25"/>
    <w:pPr>
      <w:outlineLvl w:val="9"/>
    </w:pPr>
  </w:style>
  <w:style w:type="paragraph" w:customStyle="1" w:styleId="TableSideHeading2">
    <w:name w:val="Table SideHeading2"/>
    <w:basedOn w:val="TableSideHeading"/>
    <w:autoRedefine/>
    <w:qFormat/>
    <w:rsid w:val="002A2D25"/>
    <w:pPr>
      <w:keepLines w:val="0"/>
      <w:outlineLvl w:val="9"/>
    </w:pPr>
  </w:style>
  <w:style w:type="paragraph" w:customStyle="1" w:styleId="0">
    <w:name w:val="סגנון שורה ראשונה:  0  ס''מ"/>
    <w:basedOn w:val="2"/>
    <w:rsid w:val="002A2D25"/>
    <w:rPr>
      <w:rFonts w:eastAsia="Times New Roman"/>
    </w:rPr>
  </w:style>
  <w:style w:type="paragraph" w:styleId="af">
    <w:name w:val="List Paragraph"/>
    <w:basedOn w:val="a"/>
    <w:uiPriority w:val="34"/>
    <w:qFormat/>
    <w:rsid w:val="002A2D25"/>
    <w:pPr>
      <w:widowControl/>
      <w:spacing w:line="259" w:lineRule="auto"/>
    </w:pPr>
    <w:rPr>
      <w:rFonts w:asciiTheme="minorHAnsi" w:hAnsiTheme="minorHAnsi"/>
      <w:sz w:val="22"/>
    </w:rPr>
  </w:style>
  <w:style w:type="table" w:styleId="af0">
    <w:name w:val="Table Grid"/>
    <w:basedOn w:val="a1"/>
    <w:rsid w:val="002A2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2A2D2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2A2D2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2A2D25"/>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2A2D25"/>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2599a629fc4dbd0c6f3d32642fd76758">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32C5611-2FC9-4334-AA3F-BCE88B414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DE8D44-3430-41C9-8046-2CB63A909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335</Words>
  <Characters>1916</Characters>
  <Application>Microsoft Office Word</Application>
  <DocSecurity>0</DocSecurity>
  <Lines>15</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7</cp:revision>
  <cp:lastPrinted>2013-07-04T08:25:00Z</cp:lastPrinted>
  <dcterms:created xsi:type="dcterms:W3CDTF">2015-04-20T09:58:00Z</dcterms:created>
  <dcterms:modified xsi:type="dcterms:W3CDTF">2021-04-21T06:59:00Z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2156106</vt:r8>
  </property>
</Properties>
</file>