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E635A2" w:rsidR="002C2E29" w:rsidP="00E635A2" w:rsidRDefault="004033D8" w14:paraId="7F6961A1" w14:textId="77777777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hint="cs" w:cs="David"/>
          <w:sz w:val="20"/>
          <w:szCs w:val="20"/>
          <w:rtl/>
        </w:rPr>
        <w:t xml:space="preserve">מספר פנימי: </w:t>
      </w:r>
      <w:bookmarkStart w:name="LGS_Internal_ID" w:id="0"/>
      <w:r>
        <w:rPr>
          <w:rFonts w:hint="cs" w:cs="David"/>
          <w:sz w:val="20"/>
          <w:szCs w:val="20"/>
          <w:rtl/>
        </w:rPr>
        <w:t>2156258</w:t>
      </w:r>
      <w:bookmarkEnd w:id="0"/>
    </w:p>
    <w:p w:rsidRPr="00DB7060" w:rsidR="00E13C27" w:rsidP="00A443CF" w:rsidRDefault="00E13C27" w14:paraId="7F6961A2" w14:textId="53D639AE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name="LGS_Knesset_Num" w:id="1"/>
      <w:r>
        <w:rPr>
          <w:rFonts w:hint="cs"/>
          <w:sz w:val="28"/>
          <w:szCs w:val="28"/>
          <w:rtl/>
        </w:rPr>
        <w:t>העשרים וארבע</w:t>
      </w:r>
      <w:bookmarkEnd w:id="1"/>
    </w:p>
    <w:p w:rsidRPr="00F67051" w:rsidR="00E13C27" w:rsidP="00E13C27" w:rsidRDefault="00E13C27" w14:paraId="7F6961A3" w14:textId="77777777">
      <w:pPr>
        <w:rPr>
          <w:rFonts w:cs="David"/>
          <w:b/>
          <w:bCs/>
          <w:sz w:val="26"/>
          <w:szCs w:val="26"/>
          <w:rtl/>
        </w:rPr>
      </w:pPr>
    </w:p>
    <w:p w:rsidR="00E13C27" w:rsidP="00930EFE" w:rsidRDefault="008F6665" w14:paraId="7F6961A6" w14:textId="77777777">
      <w:pPr>
        <w:pStyle w:val="David"/>
        <w:spacing w:line="360" w:lineRule="auto"/>
        <w:ind w:left="3544"/>
        <w:rPr>
          <w:b/>
          <w:bCs/>
          <w:rtl/>
        </w:rPr>
      </w:pPr>
      <w:bookmarkStart w:name="LGS_Initiators_List" w:id="2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Pr="00F67051" w:rsidR="00B35784">
        <w:rPr>
          <w:b/>
          <w:bCs/>
        </w:rPr>
        <w:tab/>
      </w:r>
      <w:bookmarkStart w:name="LGS_PM_Names" w:id="3"/>
      <w:r>
        <w:rPr>
          <w:rFonts w:hint="cs"/>
          <w:b/>
          <w:bCs/>
          <w:rtl/>
        </w:rPr>
        <w:t xml:space="preserve">מיכאל </w:t>
      </w:r>
      <w:proofErr w:type="spellStart"/>
      <w:r>
        <w:rPr>
          <w:rFonts w:hint="cs"/>
          <w:b/>
          <w:bCs/>
          <w:rtl/>
        </w:rPr>
        <w:t>מלכיאלי</w:t>
      </w:r>
      <w:bookmarkEnd w:id="3"/>
      <w:proofErr w:type="spellEnd"/>
    </w:p>
    <w:p w:rsidRPr="00904591" w:rsidR="00904591" w:rsidP="0036422C" w:rsidRDefault="00266D86" w14:paraId="34DB4103" w14:textId="77777777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Pr="00E06736" w:rsidR="00E06736"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Pr="00E06736" w:rsidR="00E13C27">
        <w:rPr>
          <w:rFonts w:hint="cs"/>
          <w:rtl/>
        </w:rPr>
        <w:tab/>
      </w:r>
      <w:r w:rsidR="00904591">
        <w:t xml:space="preserve">           </w:t>
      </w:r>
    </w:p>
    <w:p w:rsidRPr="00E06736" w:rsidR="00E13C27" w:rsidP="00904591" w:rsidRDefault="00904591" w14:paraId="7F6961AB" w14:textId="256138AA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name="Private_Number" w:id="4"/>
      <w:r>
        <w:rPr>
          <w:rFonts w:hint="cs"/>
          <w:rtl/>
        </w:rPr>
        <w:t>פ/228/24</w:t>
      </w:r>
      <w:bookmarkEnd w:id="4"/>
    </w:p>
    <w:p w:rsidR="00E13C27" w:rsidP="0021633A" w:rsidRDefault="00A443CF" w14:paraId="7F6961AD" w14:textId="77777777">
      <w:pPr>
        <w:pStyle w:val="HeadHatzaotHok"/>
        <w:rPr>
          <w:rtl/>
        </w:rPr>
      </w:pPr>
      <w:bookmarkStart w:name="LGS_Subject" w:id="5"/>
      <w:bookmarkStart w:name="_GoBack" w:id="6"/>
      <w:bookmarkEnd w:id="6"/>
      <w:r>
        <w:rPr>
          <w:rFonts w:hint="cs"/>
          <w:rtl/>
        </w:rPr>
        <w:t xml:space="preserve">הצעת חוק משק החשמל (תיקון – גביית תשלומים), </w:t>
      </w:r>
      <w:proofErr w:type="spellStart"/>
      <w:r>
        <w:rPr>
          <w:rFonts w:hint="cs"/>
          <w:rtl/>
        </w:rPr>
        <w:t>התשפ"א</w:t>
      </w:r>
      <w:proofErr w:type="spellEnd"/>
      <w:r>
        <w:rPr>
          <w:rFonts w:hint="cs"/>
          <w:rtl/>
        </w:rPr>
        <w:t>–2021</w:t>
      </w:r>
      <w:bookmarkEnd w:id="5"/>
    </w:p>
    <w:tbl>
      <w:tblPr>
        <w:bidiVisual/>
        <w:tblW w:w="963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6519"/>
      </w:tblGrid>
      <w:tr w:rsidRPr="005A59B2" w:rsidR="00B2185F" w:rsidTr="00F15F06" w14:paraId="3759716C" w14:textId="77777777">
        <w:trPr>
          <w:cantSplit/>
        </w:trPr>
        <w:tc>
          <w:tcPr>
            <w:tcW w:w="1871" w:type="dxa"/>
          </w:tcPr>
          <w:p w:rsidRPr="005A59B2" w:rsidR="00B2185F" w:rsidP="00F15F06" w:rsidRDefault="00B2185F" w14:paraId="211EA613" w14:textId="77777777">
            <w:pPr>
              <w:pStyle w:val="TableSideHeading"/>
              <w:keepLines w:val="0"/>
            </w:pPr>
            <w:r>
              <w:rPr>
                <w:rFonts w:hint="cs"/>
                <w:rtl/>
              </w:rPr>
              <w:t>תיקון</w:t>
            </w:r>
            <w:r w:rsidRPr="005A59B2">
              <w:rPr>
                <w:rFonts w:hint="cs"/>
                <w:rtl/>
              </w:rPr>
              <w:t xml:space="preserve"> סעיף </w:t>
            </w:r>
            <w:r>
              <w:rPr>
                <w:rFonts w:hint="cs"/>
                <w:rtl/>
              </w:rPr>
              <w:t>31א</w:t>
            </w:r>
          </w:p>
        </w:tc>
        <w:tc>
          <w:tcPr>
            <w:tcW w:w="624" w:type="dxa"/>
          </w:tcPr>
          <w:p w:rsidRPr="005A59B2" w:rsidR="00B2185F" w:rsidP="00F15F06" w:rsidRDefault="00B2185F" w14:paraId="2FD5EF5C" w14:textId="77777777">
            <w:pPr>
              <w:pStyle w:val="TableText"/>
              <w:keepLines w:val="0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3" w:type="dxa"/>
            <w:gridSpan w:val="2"/>
          </w:tcPr>
          <w:p w:rsidRPr="005A59B2" w:rsidR="00B2185F" w:rsidP="00F15F06" w:rsidRDefault="00B2185F" w14:paraId="3D4C68B3" w14:textId="77777777">
            <w:pPr>
              <w:pStyle w:val="TableHead"/>
              <w:jc w:val="both"/>
              <w:rPr>
                <w:b w:val="0"/>
                <w:bCs w:val="0"/>
              </w:rPr>
            </w:pPr>
            <w:r w:rsidRPr="005A59B2">
              <w:rPr>
                <w:rFonts w:hint="cs"/>
                <w:b w:val="0"/>
                <w:bCs w:val="0"/>
                <w:rtl/>
              </w:rPr>
              <w:t xml:space="preserve">בחוק משק החשמל, </w:t>
            </w:r>
            <w:proofErr w:type="spellStart"/>
            <w:r w:rsidRPr="005A59B2">
              <w:rPr>
                <w:rFonts w:hint="cs"/>
                <w:b w:val="0"/>
                <w:bCs w:val="0"/>
                <w:rtl/>
              </w:rPr>
              <w:t>התשנ"ו</w:t>
            </w:r>
            <w:proofErr w:type="spellEnd"/>
            <w:r>
              <w:rPr>
                <w:rFonts w:hint="eastAsia"/>
                <w:b w:val="0"/>
                <w:bCs w:val="0"/>
                <w:rtl/>
              </w:rPr>
              <w:t>–</w:t>
            </w:r>
            <w:r w:rsidRPr="005A59B2">
              <w:rPr>
                <w:rFonts w:hint="cs"/>
                <w:b w:val="0"/>
                <w:bCs w:val="0"/>
                <w:rtl/>
              </w:rPr>
              <w:t>199</w:t>
            </w:r>
            <w:r>
              <w:rPr>
                <w:rFonts w:hint="cs"/>
                <w:b w:val="0"/>
                <w:bCs w:val="0"/>
                <w:rtl/>
              </w:rPr>
              <w:t>6</w:t>
            </w:r>
            <w:r w:rsidRPr="00D17FC1">
              <w:rPr>
                <w:rStyle w:val="a5"/>
                <w:rFonts w:ascii="David" w:hAnsi="David"/>
                <w:b w:val="0"/>
                <w:bCs w:val="0"/>
                <w:sz w:val="26"/>
                <w:rtl/>
              </w:rPr>
              <w:footnoteReference w:id="2"/>
            </w:r>
            <w:r w:rsidRPr="005A59B2">
              <w:rPr>
                <w:rFonts w:hint="cs"/>
                <w:b w:val="0"/>
                <w:bCs w:val="0"/>
                <w:rtl/>
              </w:rPr>
              <w:t>, בסעיף</w:t>
            </w:r>
            <w:r>
              <w:rPr>
                <w:rFonts w:hint="cs"/>
                <w:b w:val="0"/>
                <w:bCs w:val="0"/>
                <w:rtl/>
              </w:rPr>
              <w:t xml:space="preserve"> 31א </w:t>
            </w:r>
            <w:r>
              <w:rPr>
                <w:rFonts w:hint="eastAsia"/>
                <w:b w:val="0"/>
                <w:bCs w:val="0"/>
                <w:rtl/>
              </w:rPr>
              <w:t>–</w:t>
            </w:r>
          </w:p>
        </w:tc>
      </w:tr>
      <w:tr w:rsidR="00B2185F" w:rsidTr="00F15F06" w14:paraId="783E36D5" w14:textId="77777777">
        <w:trPr>
          <w:cantSplit/>
        </w:trPr>
        <w:tc>
          <w:tcPr>
            <w:tcW w:w="1871" w:type="dxa"/>
          </w:tcPr>
          <w:p w:rsidR="00B2185F" w:rsidP="00F15F06" w:rsidRDefault="00B2185F" w14:paraId="7D610044" w14:textId="77777777">
            <w:pPr>
              <w:pStyle w:val="TableSideHeading"/>
            </w:pPr>
          </w:p>
        </w:tc>
        <w:tc>
          <w:tcPr>
            <w:tcW w:w="624" w:type="dxa"/>
          </w:tcPr>
          <w:p w:rsidR="00B2185F" w:rsidP="00F15F06" w:rsidRDefault="00B2185F" w14:paraId="0D542E36" w14:textId="77777777">
            <w:pPr>
              <w:pStyle w:val="TableText"/>
            </w:pPr>
          </w:p>
        </w:tc>
        <w:tc>
          <w:tcPr>
            <w:tcW w:w="7143" w:type="dxa"/>
            <w:gridSpan w:val="2"/>
          </w:tcPr>
          <w:p w:rsidR="00B2185F" w:rsidP="00F15F06" w:rsidRDefault="00B2185F" w14:paraId="717D8AAE" w14:textId="77777777">
            <w:pPr>
              <w:pStyle w:val="TableBlock"/>
            </w:pPr>
            <w:r>
              <w:rPr>
                <w:rFonts w:hint="cs"/>
                <w:rtl/>
              </w:rPr>
              <w:t>(1)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בכותרת השוליים, בסופה יבוא "ופריסת תשלומים";</w:t>
            </w:r>
          </w:p>
        </w:tc>
      </w:tr>
      <w:tr w:rsidR="00B2185F" w:rsidTr="00F15F06" w14:paraId="17AA968C" w14:textId="77777777">
        <w:trPr>
          <w:cantSplit/>
        </w:trPr>
        <w:tc>
          <w:tcPr>
            <w:tcW w:w="1871" w:type="dxa"/>
          </w:tcPr>
          <w:p w:rsidR="00B2185F" w:rsidP="00F15F06" w:rsidRDefault="00B2185F" w14:paraId="05CA92E0" w14:textId="77777777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B2185F" w:rsidP="00F15F06" w:rsidRDefault="00B2185F" w14:paraId="47715AD7" w14:textId="77777777">
            <w:pPr>
              <w:pStyle w:val="TableText"/>
            </w:pPr>
          </w:p>
        </w:tc>
        <w:tc>
          <w:tcPr>
            <w:tcW w:w="7143" w:type="dxa"/>
            <w:gridSpan w:val="2"/>
          </w:tcPr>
          <w:p w:rsidR="00B2185F" w:rsidP="00F15F06" w:rsidRDefault="00B2185F" w14:paraId="62B6BE2C" w14:textId="77777777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אחרי סעיף קטן (ד) יבוא:</w:t>
            </w:r>
          </w:p>
        </w:tc>
      </w:tr>
      <w:tr w:rsidR="00B2185F" w:rsidTr="00F15F06" w14:paraId="6E5CFEFC" w14:textId="77777777">
        <w:trPr>
          <w:cantSplit/>
        </w:trPr>
        <w:tc>
          <w:tcPr>
            <w:tcW w:w="1871" w:type="dxa"/>
          </w:tcPr>
          <w:p w:rsidR="00B2185F" w:rsidP="00F15F06" w:rsidRDefault="00B2185F" w14:paraId="065E364E" w14:textId="77777777">
            <w:pPr>
              <w:pStyle w:val="TableSideHeading"/>
            </w:pPr>
          </w:p>
        </w:tc>
        <w:tc>
          <w:tcPr>
            <w:tcW w:w="624" w:type="dxa"/>
          </w:tcPr>
          <w:p w:rsidR="00B2185F" w:rsidP="00F15F06" w:rsidRDefault="00B2185F" w14:paraId="6755FFB6" w14:textId="77777777">
            <w:pPr>
              <w:pStyle w:val="TableText"/>
            </w:pPr>
          </w:p>
        </w:tc>
        <w:tc>
          <w:tcPr>
            <w:tcW w:w="624" w:type="dxa"/>
          </w:tcPr>
          <w:p w:rsidR="00B2185F" w:rsidP="00F15F06" w:rsidRDefault="00B2185F" w14:paraId="693FDDDA" w14:textId="77777777">
            <w:pPr>
              <w:pStyle w:val="TableText"/>
            </w:pPr>
          </w:p>
        </w:tc>
        <w:tc>
          <w:tcPr>
            <w:tcW w:w="6519" w:type="dxa"/>
          </w:tcPr>
          <w:p w:rsidR="00B2185F" w:rsidP="00F15F06" w:rsidRDefault="00B2185F" w14:paraId="522EF43F" w14:textId="77777777">
            <w:pPr>
              <w:pStyle w:val="TableBlock"/>
            </w:pPr>
            <w:r>
              <w:rPr>
                <w:rFonts w:hint="cs"/>
                <w:rtl/>
              </w:rPr>
              <w:t>"(ה)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ספק שירות חיוני יאפשר לצרכן לפרוס את התשלום בעד צריכת חשמל לפי חשבון שהמציא לו למספר תשלומים; בעד פריסת התשלום ספק השירות החיוני לא יגבה עמלה או ריבית."</w:t>
            </w:r>
          </w:p>
        </w:tc>
      </w:tr>
    </w:tbl>
    <w:p w:rsidR="00E13C27" w:rsidP="00B2185F" w:rsidRDefault="002D1EE3" w14:paraId="7F6961CB" w14:textId="5C881937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:rsidRPr="00AD7637" w:rsidR="00B2185F" w:rsidP="00AD7637" w:rsidRDefault="00B2185F" w14:paraId="226089FB" w14:textId="77777777">
      <w:pPr>
        <w:pStyle w:val="Hesber"/>
        <w:rPr>
          <w:rtl/>
        </w:rPr>
      </w:pPr>
      <w:r w:rsidRPr="00AD7637">
        <w:rPr>
          <w:rFonts w:hint="cs"/>
          <w:rtl/>
        </w:rPr>
        <w:t xml:space="preserve">כיום, ספק שירות חיוני המחזיק ברישיון לניהול, להולכה או לחלוקה של חשמל לא מאפשר לצרכן לשלם את חשבון החשמל באמצעות פריסה לתשלומים. </w:t>
      </w:r>
    </w:p>
    <w:p w:rsidRPr="00AD7637" w:rsidR="00B2185F" w:rsidP="00AD7637" w:rsidRDefault="00B2185F" w14:paraId="6C9A2B16" w14:textId="70781B46">
      <w:pPr>
        <w:pStyle w:val="Hesber"/>
        <w:rPr>
          <w:rtl/>
        </w:rPr>
      </w:pPr>
      <w:r w:rsidRPr="00AD7637">
        <w:rPr>
          <w:rFonts w:hint="cs"/>
          <w:rtl/>
        </w:rPr>
        <w:t xml:space="preserve">צרכנים אשר אין ביכולתם לשלם את חשבון החשמל במלואו, נאלצים לבצע תשלום בקרדיט, באמצעות כרטיס אשראי, המאפשר לפרוס את הסכום בממוצע תשלומים של בין 12 ל-18 חודשים ואף יותר, בהתאם לתנאי החשבון של הלקוח. באופן זה, חברת החשמל מקבלת את מלוא סכום התשלום מראש מחברת האשראי, אך מבחינת הצרכן </w:t>
      </w:r>
      <w:r w:rsidRPr="00AD7637">
        <w:rPr>
          <w:rFonts w:hint="eastAsia"/>
          <w:rtl/>
        </w:rPr>
        <w:t>–</w:t>
      </w:r>
      <w:r w:rsidRPr="00AD7637">
        <w:rPr>
          <w:rFonts w:hint="cs"/>
          <w:rtl/>
        </w:rPr>
        <w:t xml:space="preserve"> מדובר בהלוואה לכל דבר הנושאת ריבית שנתית שקובעת חברת כרטיס האשראי המגיעה לשיעורים של כ-13%-12% לשנה.</w:t>
      </w:r>
    </w:p>
    <w:p w:rsidRPr="00AD7637" w:rsidR="00B2185F" w:rsidP="00AD7637" w:rsidRDefault="00B2185F" w14:paraId="3C290FCC" w14:textId="77777777">
      <w:pPr>
        <w:pStyle w:val="Hesber"/>
        <w:rPr>
          <w:rtl/>
        </w:rPr>
      </w:pPr>
      <w:r w:rsidRPr="00AD7637">
        <w:rPr>
          <w:rFonts w:hint="cs"/>
          <w:rtl/>
        </w:rPr>
        <w:t xml:space="preserve">לפיכך מוצע לקבוע כי ספק שירות חיוני (חברת החשמל) יאפשר לצרכן לפרוס את התשלום בעד צריכת החשמל למספר תשלומים שבעדם לא תיגבה עמלה או ריבית. </w:t>
      </w:r>
    </w:p>
    <w:p w:rsidRPr="00AD7637" w:rsidR="00B2185F" w:rsidP="00AD7637" w:rsidRDefault="00B2185F" w14:paraId="6C3C3223" w14:textId="39896BFE">
      <w:pPr>
        <w:pStyle w:val="Hesber"/>
        <w:rPr>
          <w:rtl/>
        </w:rPr>
      </w:pPr>
      <w:r w:rsidRPr="00AD7637">
        <w:rPr>
          <w:rFonts w:hint="cs"/>
          <w:rtl/>
        </w:rPr>
        <w:t xml:space="preserve">הצעות חוק זהות הונחו על שולחן הכנסת העשרים ושתיים על ידי חברי הכנסת מיכאל </w:t>
      </w:r>
      <w:proofErr w:type="spellStart"/>
      <w:r w:rsidRPr="00AD7637">
        <w:rPr>
          <w:rFonts w:hint="cs"/>
          <w:rtl/>
        </w:rPr>
        <w:t>מלכיאלי</w:t>
      </w:r>
      <w:proofErr w:type="spellEnd"/>
      <w:r w:rsidRPr="00AD7637">
        <w:rPr>
          <w:rFonts w:hint="cs"/>
          <w:rtl/>
        </w:rPr>
        <w:t xml:space="preserve"> ומשה אבוטבול (פ/666/22) ועל ידי חברת הכנסת אורלי לוי-</w:t>
      </w:r>
      <w:proofErr w:type="spellStart"/>
      <w:r w:rsidRPr="00AD7637">
        <w:rPr>
          <w:rFonts w:hint="cs"/>
          <w:rtl/>
        </w:rPr>
        <w:t>אבקסיס</w:t>
      </w:r>
      <w:proofErr w:type="spellEnd"/>
      <w:r w:rsidRPr="00AD7637">
        <w:rPr>
          <w:rFonts w:hint="cs"/>
          <w:rtl/>
        </w:rPr>
        <w:t xml:space="preserve"> (פ/1366/22)</w:t>
      </w:r>
      <w:r w:rsidRPr="00AD7637" w:rsidR="000F5AFA">
        <w:rPr>
          <w:rFonts w:hint="cs"/>
          <w:rtl/>
        </w:rPr>
        <w:t xml:space="preserve"> ועל שולחן הכנסת העשרים ושלוש על ידי חבר הכנסת מיכאל </w:t>
      </w:r>
      <w:proofErr w:type="spellStart"/>
      <w:r w:rsidRPr="00AD7637" w:rsidR="000F5AFA">
        <w:rPr>
          <w:rFonts w:hint="cs"/>
          <w:rtl/>
        </w:rPr>
        <w:t>מלכיאלי</w:t>
      </w:r>
      <w:proofErr w:type="spellEnd"/>
      <w:r w:rsidRPr="00AD7637" w:rsidR="000F5AFA">
        <w:rPr>
          <w:rFonts w:hint="cs"/>
          <w:rtl/>
        </w:rPr>
        <w:t xml:space="preserve"> (פ/195/23).</w:t>
      </w:r>
    </w:p>
    <w:p w:rsidRPr="00AD7637" w:rsidR="00AB2C4A" w:rsidP="00AD7637" w:rsidRDefault="00AD7637" w14:paraId="5E6292D4" w14:textId="7036F978">
      <w:pPr>
        <w:pStyle w:val="Hesber"/>
        <w:rPr>
          <w:rtl/>
        </w:rPr>
      </w:pPr>
      <w:r>
        <w:rPr>
          <w:rFonts w:hint="cs"/>
          <w:rtl/>
        </w:rPr>
        <w:t>הצעת החוק זהה</w:t>
      </w:r>
      <w:r w:rsidRPr="00AD7637" w:rsidR="00AB2C4A">
        <w:rPr>
          <w:rFonts w:hint="cs"/>
          <w:rtl/>
        </w:rPr>
        <w:t xml:space="preserve"> </w:t>
      </w:r>
      <w:proofErr w:type="spellStart"/>
      <w:r w:rsidRPr="00AD7637" w:rsidR="00AB2C4A">
        <w:rPr>
          <w:rFonts w:hint="cs"/>
          <w:rtl/>
        </w:rPr>
        <w:t>לפ</w:t>
      </w:r>
      <w:proofErr w:type="spellEnd"/>
      <w:r w:rsidRPr="00AD7637" w:rsidR="00AB2C4A">
        <w:rPr>
          <w:rFonts w:hint="cs"/>
          <w:rtl/>
        </w:rPr>
        <w:t>/195/23 ולפיכך לא נבדקה מחדש על ידי הלשכה המשפטית של הכנסת.</w:t>
      </w:r>
    </w:p>
    <w:p>
      <w:pPr>
        <w:jc w:val="left"/>
        <w:spacing w:before="0" w:after="0" w:line="276" w:lineRule="auto"/>
      </w:pPr>
      <w:bookmarkStart w:name="selectedDocDateB" w:id="9"/>
      <w:bookmarkEnd w:id="9"/>
      <w:r/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>--------------------------------</w:t>
        </w:r>
      </w:p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>הוגשה ליו"ר הכנסת והסגנים</w:t>
        </w:r>
      </w:p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>והונחה על שולחן הכנסת ביום</w:t>
        </w:r>
      </w:p>
      <w:p>
        <w:pPr>
          <w:jc w:val="left"/>
          <w:spacing w:before="0" w:after="0" w:line="360" w:lineRule="auto"/>
        </w:pPr>
        <w:r>
          <w:rPr>
            <w:rtl/>
            <w:rFonts w:hint="cs" w:ascii="David" w:hAnsi="David" w:eastAsia="David" w:cs="David"/>
            <w:sz w:val="26"/>
            <w:szCs w:val="26"/>
          </w:rPr>
          <w:t xml:space="preserve">כ"א באייר התשפ"א</w:t>
          <w:t xml:space="preserve"> (03.05.2021) </w:t>
        </w:r>
      </w:p>
    </w:p>
    <w:sectPr w:rsidRPr="00AD7637" w:rsidR="00AB2C4A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0F5AFA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00AEEB2F" w14:textId="77777777" w:rsidR="00B2185F" w:rsidRDefault="00B2185F" w:rsidP="00B2185F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התשנ"ו</w:t>
      </w:r>
      <w:proofErr w:type="spellEnd"/>
      <w:r>
        <w:rPr>
          <w:rFonts w:hint="cs"/>
          <w:rtl/>
        </w:rPr>
        <w:t>, עמ' 208.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468B7"/>
    <w:rsid w:val="00063A3E"/>
    <w:rsid w:val="00072CAC"/>
    <w:rsid w:val="0007681A"/>
    <w:rsid w:val="000A542E"/>
    <w:rsid w:val="000F5AFA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B2C4A"/>
    <w:rsid w:val="00AC36F7"/>
    <w:rsid w:val="00AC63A4"/>
    <w:rsid w:val="00AD239E"/>
    <w:rsid w:val="00AD7637"/>
    <w:rsid w:val="00B10265"/>
    <w:rsid w:val="00B16A99"/>
    <w:rsid w:val="00B21211"/>
    <w:rsid w:val="00B2185F"/>
    <w:rsid w:val="00B35784"/>
    <w:rsid w:val="00B37BE8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42D3"/>
    <w:rsid w:val="00D1777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3561FF5D-A029-48AA-8EDA-59B99B3B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aliases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2599a629fc4dbd0c6f3d32642fd767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52e17932849a6e52ec7291f1d302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F614-49E5-451F-ABE4-EACA78C88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F4D45-E4FB-4BCB-A1C1-1F7C3AC0D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252</Words>
  <Characters>1263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אילת וולברג</cp:lastModifiedBy>
  <cp:revision>9</cp:revision>
  <cp:lastPrinted>2013-07-04T08:25:00Z</cp:lastPrinted>
  <dcterms:created xsi:type="dcterms:W3CDTF">2015-04-20T09:58:00Z</dcterms:created>
  <dcterms:modified xsi:type="dcterms:W3CDTF">2021-04-21T11:23:00Z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2156258</vt:r8>
  </property>
</Properties>
</file>