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2157119</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יוזמת:</w:t>
      </w:r>
      <w:r>
        <w:tab/>
      </w:r>
      <w:r>
        <w:rPr>
          <w:b/>
          <w:bCs/>
          <w:rtl/>
        </w:rPr>
        <w:t xml:space="preserve">      חברת הכנסת</w:t>
      </w:r>
      <w:bookmarkEnd w:id="2"/>
      <w:r w:rsidR="00B35784" w:rsidRPr="00F67051">
        <w:rPr>
          <w:b/>
          <w:bCs/>
        </w:rPr>
        <w:tab/>
      </w:r>
      <w:bookmarkStart w:id="3" w:name="LGS_PM_Names"/>
      <w:r>
        <w:rPr>
          <w:rFonts w:hint="cs"/>
          <w:b/>
          <w:bCs/>
          <w:rtl/>
        </w:rPr>
        <w:t>תמר זנדברג</w:t>
      </w:r>
      <w:bookmarkEnd w:id="3"/>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6C75556C" w:rsidR="00E13C27" w:rsidRPr="00E06736" w:rsidRDefault="00904591" w:rsidP="00D90793">
      <w:pPr>
        <w:pStyle w:val="David"/>
        <w:spacing w:before="0" w:line="240" w:lineRule="auto"/>
        <w:ind w:left="6424" w:firstLine="56"/>
        <w:rPr>
          <w:rtl/>
        </w:rPr>
      </w:pPr>
      <w:bookmarkStart w:id="4" w:name="Private_Number"/>
      <w:r>
        <w:rPr>
          <w:rFonts w:hint="cs"/>
          <w:rtl/>
        </w:rPr>
        <w:t>פ/313/24</w:t>
      </w:r>
      <w:bookmarkEnd w:id="4"/>
    </w:p>
    <w:p w14:paraId="7F6961AD" w14:textId="6C5AF828" w:rsidR="00E13C27" w:rsidRPr="00F67051" w:rsidRDefault="00A443CF" w:rsidP="0021633A">
      <w:pPr>
        <w:pStyle w:val="HeadHatzaotHok"/>
        <w:rPr>
          <w:rtl/>
        </w:rPr>
      </w:pPr>
      <w:bookmarkStart w:id="5" w:name="LGS_Subject"/>
      <w:r>
        <w:rPr>
          <w:rFonts w:hint="cs"/>
          <w:rtl/>
        </w:rPr>
        <w:t xml:space="preserve">הצעת חוק הגנת הצרכן (תיקון – איסור גביית עמלה בעסקה שבוצעה באמצעות האינטרנט), </w:t>
      </w:r>
      <w:r w:rsidR="00D90793">
        <w:rPr>
          <w:rtl/>
        </w:rPr>
        <w:br/>
      </w:r>
      <w:proofErr w:type="spellStart"/>
      <w:r>
        <w:rPr>
          <w:rFonts w:hint="cs"/>
          <w:rtl/>
        </w:rPr>
        <w:t>התשפ"א</w:t>
      </w:r>
      <w:proofErr w:type="spellEnd"/>
      <w:r>
        <w:rPr>
          <w:rFonts w:hint="cs"/>
          <w:rtl/>
        </w:rPr>
        <w:t>–2021</w:t>
      </w:r>
      <w:bookmarkEnd w:id="5"/>
    </w:p>
    <w:p w14:paraId="7F6961AE" w14:textId="77777777" w:rsidR="00E13C27" w:rsidRDefault="00E13C27" w:rsidP="0021633A">
      <w:pPr>
        <w:pStyle w:val="HeadDivreiHesber"/>
        <w:spacing w:before="0" w:after="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3720B6" w:rsidRPr="00B50BBD" w14:paraId="3863585C" w14:textId="77777777" w:rsidTr="00AA4BF3">
        <w:trPr>
          <w:cantSplit/>
        </w:trPr>
        <w:tc>
          <w:tcPr>
            <w:tcW w:w="1871" w:type="dxa"/>
          </w:tcPr>
          <w:p w14:paraId="6E3A0588" w14:textId="77777777" w:rsidR="003720B6" w:rsidRDefault="003720B6" w:rsidP="00AA4BF3">
            <w:pPr>
              <w:pStyle w:val="TableSideHeading"/>
            </w:pPr>
            <w:r w:rsidRPr="008A7FF9">
              <w:rPr>
                <w:rtl/>
              </w:rPr>
              <w:t>תיקון</w:t>
            </w:r>
            <w:r>
              <w:rPr>
                <w:rtl/>
              </w:rPr>
              <w:t xml:space="preserve"> סעיף 14ג</w:t>
            </w:r>
          </w:p>
        </w:tc>
        <w:tc>
          <w:tcPr>
            <w:tcW w:w="624" w:type="dxa"/>
          </w:tcPr>
          <w:p w14:paraId="42F31683" w14:textId="77777777" w:rsidR="003720B6" w:rsidRDefault="003720B6" w:rsidP="00AA4BF3">
            <w:pPr>
              <w:pStyle w:val="TableText"/>
              <w:jc w:val="both"/>
            </w:pPr>
            <w:r>
              <w:rPr>
                <w:rtl/>
              </w:rPr>
              <w:t>1.</w:t>
            </w:r>
          </w:p>
        </w:tc>
        <w:tc>
          <w:tcPr>
            <w:tcW w:w="7146" w:type="dxa"/>
          </w:tcPr>
          <w:p w14:paraId="02B36CD8" w14:textId="77777777" w:rsidR="003720B6" w:rsidRPr="00D02CD3" w:rsidRDefault="003720B6" w:rsidP="00AA4BF3">
            <w:pPr>
              <w:pStyle w:val="TableBlock"/>
              <w:rPr>
                <w:b/>
                <w:bCs/>
              </w:rPr>
            </w:pPr>
            <w:r w:rsidRPr="00D02CD3">
              <w:rPr>
                <w:rtl/>
              </w:rPr>
              <w:t xml:space="preserve">בחוק הגנת הצרכן, </w:t>
            </w:r>
            <w:proofErr w:type="spellStart"/>
            <w:r w:rsidRPr="00D02CD3">
              <w:rPr>
                <w:rtl/>
              </w:rPr>
              <w:t>התשמ"א</w:t>
            </w:r>
            <w:proofErr w:type="spellEnd"/>
            <w:r w:rsidRPr="00D02CD3">
              <w:rPr>
                <w:rtl/>
              </w:rPr>
              <w:t>–1981</w:t>
            </w:r>
            <w:r w:rsidRPr="008A7FF9">
              <w:rPr>
                <w:rStyle w:val="a6"/>
                <w:rFonts w:ascii="David" w:hAnsi="David"/>
                <w:sz w:val="26"/>
                <w:rtl/>
              </w:rPr>
              <w:footnoteReference w:id="2"/>
            </w:r>
            <w:r w:rsidRPr="00D02CD3">
              <w:rPr>
                <w:rtl/>
              </w:rPr>
              <w:t xml:space="preserve"> (להלן –</w:t>
            </w:r>
            <w:r>
              <w:rPr>
                <w:rtl/>
              </w:rPr>
              <w:t xml:space="preserve"> החוק העיקרי), בסעיף 14ג, </w:t>
            </w:r>
            <w:r w:rsidRPr="00D02CD3">
              <w:rPr>
                <w:rtl/>
              </w:rPr>
              <w:t>אחרי סעיף קטן (ב) יבוא:</w:t>
            </w:r>
          </w:p>
        </w:tc>
      </w:tr>
      <w:tr w:rsidR="003720B6" w14:paraId="5CC93BFE" w14:textId="77777777" w:rsidTr="00AA4BF3">
        <w:trPr>
          <w:cantSplit/>
        </w:trPr>
        <w:tc>
          <w:tcPr>
            <w:tcW w:w="1871" w:type="dxa"/>
          </w:tcPr>
          <w:p w14:paraId="56419C9C" w14:textId="77777777" w:rsidR="003720B6" w:rsidRDefault="003720B6" w:rsidP="00AA4BF3">
            <w:pPr>
              <w:pStyle w:val="TableSideHeading"/>
              <w:keepLines w:val="0"/>
            </w:pPr>
          </w:p>
        </w:tc>
        <w:tc>
          <w:tcPr>
            <w:tcW w:w="624" w:type="dxa"/>
          </w:tcPr>
          <w:p w14:paraId="2E21FFB0" w14:textId="77777777" w:rsidR="003720B6" w:rsidRDefault="003720B6" w:rsidP="00AA4BF3">
            <w:pPr>
              <w:pStyle w:val="TableText"/>
              <w:keepLines w:val="0"/>
            </w:pPr>
          </w:p>
        </w:tc>
        <w:tc>
          <w:tcPr>
            <w:tcW w:w="7146" w:type="dxa"/>
          </w:tcPr>
          <w:p w14:paraId="695AD5CE" w14:textId="77777777" w:rsidR="003720B6" w:rsidRPr="00D02CD3" w:rsidRDefault="003720B6" w:rsidP="00AA4BF3">
            <w:pPr>
              <w:pStyle w:val="TableBlock"/>
              <w:rPr>
                <w:b/>
                <w:bCs/>
              </w:rPr>
            </w:pPr>
            <w:r w:rsidRPr="00D02CD3">
              <w:rPr>
                <w:rtl/>
              </w:rPr>
              <w:t>"(ב1)</w:t>
            </w:r>
            <w:r>
              <w:rPr>
                <w:rtl/>
              </w:rPr>
              <w:tab/>
            </w:r>
            <w:r w:rsidRPr="00D02CD3">
              <w:rPr>
                <w:rtl/>
              </w:rPr>
              <w:t>בעסקת מכר מרחוק הנ</w:t>
            </w:r>
            <w:r>
              <w:rPr>
                <w:rtl/>
              </w:rPr>
              <w:t xml:space="preserve">עשית באמצעות האינטרנט, לא יגבה </w:t>
            </w:r>
            <w:r w:rsidRPr="00D02CD3">
              <w:rPr>
                <w:rtl/>
              </w:rPr>
              <w:t>עוסק עמלה בעד עשיית העסקה, אלא אם כן הוא גובה עמלה בשיעור זהה במכירת מוצרים או שירותים זהים בעסקה שאינה עסקת מכר מרחוק."</w:t>
            </w:r>
          </w:p>
        </w:tc>
      </w:tr>
      <w:tr w:rsidR="003720B6" w14:paraId="69B82F15" w14:textId="77777777" w:rsidTr="00AA4BF3">
        <w:trPr>
          <w:cantSplit/>
        </w:trPr>
        <w:tc>
          <w:tcPr>
            <w:tcW w:w="1871" w:type="dxa"/>
          </w:tcPr>
          <w:p w14:paraId="2F0F584A" w14:textId="77777777" w:rsidR="003720B6" w:rsidRPr="008A7FF9" w:rsidRDefault="003720B6" w:rsidP="00AA4BF3">
            <w:pPr>
              <w:pStyle w:val="TableSideHeading"/>
            </w:pPr>
            <w:r>
              <w:rPr>
                <w:rtl/>
              </w:rPr>
              <w:t>תיקון סעיף 23</w:t>
            </w:r>
          </w:p>
        </w:tc>
        <w:tc>
          <w:tcPr>
            <w:tcW w:w="624" w:type="dxa"/>
          </w:tcPr>
          <w:p w14:paraId="7ABAE0A0" w14:textId="77777777" w:rsidR="003720B6" w:rsidRPr="008A7FF9" w:rsidRDefault="003720B6" w:rsidP="00AA4BF3">
            <w:pPr>
              <w:pStyle w:val="TableText"/>
              <w:jc w:val="both"/>
            </w:pPr>
            <w:r>
              <w:rPr>
                <w:rtl/>
              </w:rPr>
              <w:t xml:space="preserve">2. </w:t>
            </w:r>
          </w:p>
        </w:tc>
        <w:tc>
          <w:tcPr>
            <w:tcW w:w="7146" w:type="dxa"/>
          </w:tcPr>
          <w:p w14:paraId="6E4860D8" w14:textId="77777777" w:rsidR="003720B6" w:rsidRPr="00D02CD3" w:rsidRDefault="003720B6" w:rsidP="00AA4BF3">
            <w:pPr>
              <w:pStyle w:val="TableBlock"/>
              <w:rPr>
                <w:b/>
                <w:bCs/>
                <w:rtl/>
              </w:rPr>
            </w:pPr>
            <w:r w:rsidRPr="00D02CD3">
              <w:rPr>
                <w:rtl/>
              </w:rPr>
              <w:t>בסעיף 23(א) לחוק העיקרי, אחרי פסקה (5) יבוא:</w:t>
            </w:r>
          </w:p>
        </w:tc>
      </w:tr>
      <w:tr w:rsidR="003720B6" w14:paraId="7D140091" w14:textId="77777777" w:rsidTr="00AA4BF3">
        <w:trPr>
          <w:cantSplit/>
        </w:trPr>
        <w:tc>
          <w:tcPr>
            <w:tcW w:w="1871" w:type="dxa"/>
          </w:tcPr>
          <w:p w14:paraId="59F33921" w14:textId="77777777" w:rsidR="003720B6" w:rsidRDefault="003720B6" w:rsidP="00AA4BF3">
            <w:pPr>
              <w:pStyle w:val="TableSideHeading"/>
              <w:keepLines w:val="0"/>
              <w:rPr>
                <w:rtl/>
              </w:rPr>
            </w:pPr>
          </w:p>
        </w:tc>
        <w:tc>
          <w:tcPr>
            <w:tcW w:w="624" w:type="dxa"/>
          </w:tcPr>
          <w:p w14:paraId="62E39488" w14:textId="77777777" w:rsidR="003720B6" w:rsidRDefault="003720B6" w:rsidP="00AA4BF3">
            <w:pPr>
              <w:pStyle w:val="TableText"/>
              <w:keepLines w:val="0"/>
              <w:rPr>
                <w:rtl/>
              </w:rPr>
            </w:pPr>
          </w:p>
        </w:tc>
        <w:tc>
          <w:tcPr>
            <w:tcW w:w="7146" w:type="dxa"/>
          </w:tcPr>
          <w:p w14:paraId="4FC614AD" w14:textId="77777777" w:rsidR="003720B6" w:rsidRPr="00D02CD3" w:rsidRDefault="003720B6" w:rsidP="00AA4BF3">
            <w:pPr>
              <w:pStyle w:val="TableBlock"/>
              <w:rPr>
                <w:b/>
                <w:bCs/>
                <w:rtl/>
              </w:rPr>
            </w:pPr>
            <w:r w:rsidRPr="00D02CD3">
              <w:rPr>
                <w:rtl/>
              </w:rPr>
              <w:t>"(5א)</w:t>
            </w:r>
            <w:r w:rsidRPr="00D02CD3">
              <w:rPr>
                <w:rtl/>
              </w:rPr>
              <w:tab/>
              <w:t xml:space="preserve">בעסקת מכר מרחוק באמצעות האינטרנט, לא קיים את הוראות סעיף </w:t>
            </w:r>
            <w:r w:rsidRPr="008A7FF9">
              <w:rPr>
                <w:rtl/>
              </w:rPr>
              <w:t>14ג</w:t>
            </w:r>
            <w:r w:rsidRPr="00D02CD3">
              <w:rPr>
                <w:rtl/>
              </w:rPr>
              <w:t>(ב1);"</w:t>
            </w:r>
            <w:r>
              <w:rPr>
                <w:rtl/>
              </w:rPr>
              <w:t>.</w:t>
            </w:r>
          </w:p>
        </w:tc>
      </w:tr>
    </w:tbl>
    <w:p w14:paraId="0366C513" w14:textId="77777777" w:rsidR="003720B6" w:rsidRDefault="003720B6" w:rsidP="003720B6">
      <w:pPr>
        <w:pStyle w:val="HeadDivreiHesber"/>
        <w:rPr>
          <w:rtl/>
        </w:rPr>
      </w:pPr>
      <w:r w:rsidRPr="0027450A">
        <w:rPr>
          <w:rFonts w:hint="cs"/>
          <w:rtl/>
        </w:rPr>
        <w:t>דברי הסבר</w:t>
      </w:r>
    </w:p>
    <w:p w14:paraId="18A309E6" w14:textId="77777777" w:rsidR="003720B6" w:rsidRPr="001A4B53" w:rsidRDefault="003720B6" w:rsidP="003720B6">
      <w:pPr>
        <w:pStyle w:val="Hesber"/>
        <w:rPr>
          <w:rtl/>
        </w:rPr>
      </w:pPr>
      <w:r w:rsidRPr="001A4B53">
        <w:rPr>
          <w:rtl/>
        </w:rPr>
        <w:t xml:space="preserve">בתי עסק רבים גובים מצרכנים עמלת שירות בעד עסקה המתבצעת באמצעות האינטרנט, בדרך כלל בנימוק שעסקה כאמור נוחה יותר עבור הלקוח, מאחר שהיא מבוצעת על ידו מול מסך מחשב, בזמנו הפנוי, תוך שהלקוח חוסך גם עמידה בתור לקופה. </w:t>
      </w:r>
      <w:r w:rsidRPr="001A4B53">
        <w:rPr>
          <w:rFonts w:hint="cs"/>
          <w:rtl/>
        </w:rPr>
        <w:t>ו</w:t>
      </w:r>
      <w:r w:rsidRPr="001A4B53">
        <w:rPr>
          <w:rtl/>
        </w:rPr>
        <w:t>אולם, עשיית עסקה באמצעות האינטרנט חוסכת עלויות הפעלה ומכירה לבית העסק</w:t>
      </w:r>
      <w:r w:rsidRPr="001A4B53">
        <w:rPr>
          <w:rFonts w:hint="cs"/>
          <w:rtl/>
        </w:rPr>
        <w:t>,</w:t>
      </w:r>
      <w:r w:rsidRPr="001A4B53">
        <w:rPr>
          <w:rtl/>
        </w:rPr>
        <w:t xml:space="preserve"> מאחר שהדבר מייתר את הצורך בהפעלת דוכן פיזי למכירת </w:t>
      </w:r>
      <w:r w:rsidRPr="001A4B53">
        <w:rPr>
          <w:rFonts w:hint="cs"/>
          <w:rtl/>
        </w:rPr>
        <w:t>הנכס</w:t>
      </w:r>
      <w:r w:rsidRPr="001A4B53">
        <w:rPr>
          <w:rtl/>
        </w:rPr>
        <w:t xml:space="preserve"> או השירות. על כן, אין הצדקה </w:t>
      </w:r>
      <w:r w:rsidRPr="001A4B53">
        <w:rPr>
          <w:rFonts w:hint="cs"/>
          <w:rtl/>
        </w:rPr>
        <w:t>לגביית</w:t>
      </w:r>
      <w:r w:rsidRPr="001A4B53">
        <w:rPr>
          <w:rtl/>
        </w:rPr>
        <w:t xml:space="preserve"> עמלה כאשר רכישת </w:t>
      </w:r>
      <w:r w:rsidRPr="001A4B53">
        <w:rPr>
          <w:rFonts w:hint="cs"/>
          <w:rtl/>
        </w:rPr>
        <w:t>הנכס</w:t>
      </w:r>
      <w:r w:rsidRPr="001A4B53">
        <w:rPr>
          <w:rtl/>
        </w:rPr>
        <w:t xml:space="preserve"> או השירות נעשית באמצעות האינטרנט.</w:t>
      </w:r>
    </w:p>
    <w:p w14:paraId="41BF8589" w14:textId="77777777" w:rsidR="003720B6" w:rsidRPr="001A4B53" w:rsidRDefault="003720B6" w:rsidP="003720B6">
      <w:pPr>
        <w:pStyle w:val="Hesber"/>
        <w:rPr>
          <w:rtl/>
        </w:rPr>
      </w:pPr>
      <w:r w:rsidRPr="001A4B53">
        <w:rPr>
          <w:rFonts w:hint="cs"/>
          <w:rtl/>
        </w:rPr>
        <w:t>לפיכך, מוצע לאסור על עוסק לגבות עמלה כאמור, אלא אם כן הוא גובה עמלה זהה בעד מכירת נכסים או שירותים זהים בעסקה הנעשית בנוכחותם הפיזית המשותפת של הצרכן והעוסק.</w:t>
      </w:r>
    </w:p>
    <w:p w14:paraId="5BB9CA2E" w14:textId="06D714D6" w:rsidR="003720B6" w:rsidRDefault="003720B6" w:rsidP="003720B6">
      <w:pPr>
        <w:pStyle w:val="Hesber"/>
        <w:rPr>
          <w:rtl/>
        </w:rPr>
      </w:pPr>
      <w:r w:rsidRPr="00B05A30">
        <w:rPr>
          <w:rtl/>
        </w:rPr>
        <w:t>הצעת חוק זה</w:t>
      </w:r>
      <w:r w:rsidRPr="00B05A30">
        <w:rPr>
          <w:rFonts w:hint="cs"/>
          <w:rtl/>
        </w:rPr>
        <w:t>ה</w:t>
      </w:r>
      <w:r w:rsidRPr="00B05A30">
        <w:rPr>
          <w:rtl/>
        </w:rPr>
        <w:t xml:space="preserve"> הונח</w:t>
      </w:r>
      <w:r w:rsidRPr="00B05A30">
        <w:rPr>
          <w:rFonts w:hint="cs"/>
          <w:rtl/>
        </w:rPr>
        <w:t>ה</w:t>
      </w:r>
      <w:r w:rsidRPr="00B05A30">
        <w:rPr>
          <w:rtl/>
        </w:rPr>
        <w:t xml:space="preserve"> על שולחן הכנסת העשרים </w:t>
      </w:r>
      <w:r w:rsidRPr="00B05A30">
        <w:rPr>
          <w:rFonts w:hint="cs"/>
          <w:rtl/>
        </w:rPr>
        <w:t xml:space="preserve">ושלוש </w:t>
      </w:r>
      <w:r w:rsidRPr="00B05A30">
        <w:rPr>
          <w:rtl/>
        </w:rPr>
        <w:t>על ידי חבר</w:t>
      </w:r>
      <w:r w:rsidRPr="00B05A30">
        <w:rPr>
          <w:rFonts w:hint="cs"/>
          <w:rtl/>
        </w:rPr>
        <w:t>ת</w:t>
      </w:r>
      <w:r w:rsidRPr="00B05A30">
        <w:rPr>
          <w:rtl/>
        </w:rPr>
        <w:t xml:space="preserve"> הכנסת </w:t>
      </w:r>
      <w:r w:rsidRPr="00B05A30">
        <w:rPr>
          <w:rFonts w:hint="cs"/>
          <w:rtl/>
        </w:rPr>
        <w:t xml:space="preserve">תמר זנדברג </w:t>
      </w:r>
      <w:r w:rsidRPr="00B05A30">
        <w:rPr>
          <w:rtl/>
        </w:rPr>
        <w:t>(פ/</w:t>
      </w:r>
      <w:r>
        <w:rPr>
          <w:rFonts w:hint="cs"/>
          <w:rtl/>
        </w:rPr>
        <w:t>454</w:t>
      </w:r>
      <w:r w:rsidRPr="00B05A30">
        <w:rPr>
          <w:rtl/>
        </w:rPr>
        <w:t>/2</w:t>
      </w:r>
      <w:r w:rsidRPr="00B05A30">
        <w:rPr>
          <w:rFonts w:hint="cs"/>
          <w:rtl/>
        </w:rPr>
        <w:t>3</w:t>
      </w:r>
      <w:r w:rsidRPr="00B05A30">
        <w:rPr>
          <w:rtl/>
        </w:rPr>
        <w:t>)</w:t>
      </w:r>
      <w:r w:rsidR="003E47F7">
        <w:rPr>
          <w:rFonts w:hint="cs"/>
          <w:rtl/>
        </w:rPr>
        <w:t>.</w:t>
      </w:r>
    </w:p>
    <w:p w14:paraId="018E354F" w14:textId="1452DB9F" w:rsidR="003720B6" w:rsidRPr="007E2228" w:rsidRDefault="00D90793" w:rsidP="00D90793">
      <w:pPr>
        <w:pStyle w:val="Hesber"/>
      </w:pPr>
      <w:r>
        <w:rPr>
          <w:rFonts w:hint="cs"/>
          <w:rtl/>
        </w:rPr>
        <w:t>הצעת החוק</w:t>
      </w:r>
      <w:r w:rsidR="003E47F7">
        <w:rPr>
          <w:rFonts w:hint="cs"/>
          <w:rtl/>
        </w:rPr>
        <w:t xml:space="preserve"> זהה </w:t>
      </w:r>
      <w:proofErr w:type="spellStart"/>
      <w:r w:rsidR="003E47F7">
        <w:rPr>
          <w:rFonts w:hint="cs"/>
          <w:rtl/>
        </w:rPr>
        <w:t>לפ</w:t>
      </w:r>
      <w:proofErr w:type="spellEnd"/>
      <w:r w:rsidR="003E47F7">
        <w:rPr>
          <w:rFonts w:hint="cs"/>
          <w:rtl/>
        </w:rPr>
        <w:t>/454/23 ולפיכך לא נבדקה מחדש על ידי הלשכה המשפטית של הכנסת.</w:t>
      </w:r>
      <w:r w:rsidRPr="007E2228">
        <w:t xml:space="preserve"> </w:t>
      </w:r>
    </w:p>
    <w:p w14:paraId="259E32B6" w14:textId="77777777" w:rsidR="007D26C2" w:rsidRDefault="00E86187">
      <w:pPr>
        <w:spacing w:before="0" w:line="360" w:lineRule="auto"/>
        <w:jc w:val="left"/>
      </w:pPr>
      <w:bookmarkStart w:id="6" w:name="selectedDocDateB"/>
      <w:bookmarkEnd w:id="6"/>
      <w:r>
        <w:rPr>
          <w:rFonts w:ascii="David" w:eastAsia="David" w:hAnsi="David" w:cs="David" w:hint="cs"/>
          <w:sz w:val="26"/>
          <w:szCs w:val="26"/>
          <w:rtl/>
        </w:rPr>
        <w:t>--------------------------------</w:t>
      </w:r>
    </w:p>
    <w:p w14:paraId="410C2F48" w14:textId="77777777" w:rsidR="007D26C2" w:rsidRDefault="00E86187">
      <w:pPr>
        <w:spacing w:before="0" w:line="360" w:lineRule="auto"/>
        <w:jc w:val="left"/>
      </w:pPr>
      <w:r>
        <w:rPr>
          <w:rFonts w:ascii="David" w:eastAsia="David" w:hAnsi="David" w:cs="David" w:hint="cs"/>
          <w:sz w:val="26"/>
          <w:szCs w:val="26"/>
          <w:rtl/>
        </w:rPr>
        <w:t>הוגשה ליו"ר הכנסת והסגנים</w:t>
      </w:r>
    </w:p>
    <w:p w14:paraId="0B7EBBB8" w14:textId="77777777" w:rsidR="007D26C2" w:rsidRDefault="00E86187">
      <w:pPr>
        <w:spacing w:before="0" w:line="360" w:lineRule="auto"/>
        <w:jc w:val="left"/>
      </w:pPr>
      <w:r>
        <w:rPr>
          <w:rFonts w:ascii="David" w:eastAsia="David" w:hAnsi="David" w:cs="David" w:hint="cs"/>
          <w:sz w:val="26"/>
          <w:szCs w:val="26"/>
          <w:rtl/>
        </w:rPr>
        <w:t>והונחה על שולחן הכנסת ביום</w:t>
      </w:r>
    </w:p>
    <w:p w14:paraId="125A19D8" w14:textId="6E8CA3CA" w:rsidR="007D26C2" w:rsidRDefault="00E86187" w:rsidP="00E86187">
      <w:pPr>
        <w:spacing w:before="0" w:line="360" w:lineRule="auto"/>
        <w:jc w:val="left"/>
      </w:pPr>
      <w:r>
        <w:rPr>
          <w:rFonts w:ascii="David" w:eastAsia="David" w:hAnsi="David" w:cs="David" w:hint="cs"/>
          <w:sz w:val="26"/>
          <w:szCs w:val="26"/>
          <w:rtl/>
        </w:rPr>
        <w:t xml:space="preserve">כ"א באייר התשפ"א (03.05.2021) </w:t>
      </w:r>
      <w:bookmarkStart w:id="7" w:name="_GoBack"/>
      <w:bookmarkEnd w:id="7"/>
    </w:p>
    <w:sectPr w:rsidR="007D26C2"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E86187">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6B72AF76" w14:textId="77777777" w:rsidR="003720B6" w:rsidRDefault="003720B6" w:rsidP="003720B6">
      <w:pPr>
        <w:pStyle w:val="a4"/>
      </w:pPr>
      <w:r>
        <w:rPr>
          <w:rStyle w:val="a6"/>
        </w:rPr>
        <w:footnoteRef/>
      </w:r>
      <w:r>
        <w:rPr>
          <w:rtl/>
        </w:rPr>
        <w:t xml:space="preserve"> ס"ח </w:t>
      </w:r>
      <w:proofErr w:type="spellStart"/>
      <w:r>
        <w:rPr>
          <w:rtl/>
        </w:rPr>
        <w:t>התשמ"א</w:t>
      </w:r>
      <w:proofErr w:type="spellEnd"/>
      <w:r>
        <w:rPr>
          <w:rtl/>
        </w:rPr>
        <w:t>, עמ' 248.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720B6"/>
    <w:rsid w:val="00386E88"/>
    <w:rsid w:val="00396585"/>
    <w:rsid w:val="003D6E38"/>
    <w:rsid w:val="003D74A0"/>
    <w:rsid w:val="003E47F7"/>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A27CE"/>
    <w:rsid w:val="007C3FA6"/>
    <w:rsid w:val="007D26C2"/>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42D3"/>
    <w:rsid w:val="00D17774"/>
    <w:rsid w:val="00D63620"/>
    <w:rsid w:val="00D8410D"/>
    <w:rsid w:val="00D867D7"/>
    <w:rsid w:val="00D90793"/>
    <w:rsid w:val="00DB7060"/>
    <w:rsid w:val="00DE3153"/>
    <w:rsid w:val="00E06736"/>
    <w:rsid w:val="00E13C27"/>
    <w:rsid w:val="00E33BBD"/>
    <w:rsid w:val="00E374F2"/>
    <w:rsid w:val="00E45103"/>
    <w:rsid w:val="00E55A60"/>
    <w:rsid w:val="00E62778"/>
    <w:rsid w:val="00E635A2"/>
    <w:rsid w:val="00E63D38"/>
    <w:rsid w:val="00E665B9"/>
    <w:rsid w:val="00E86187"/>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842DC9C2-4CD9-4AB0-BABC-B31B7E49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3720B6"/>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2599a629fc4dbd0c6f3d32642fd76758">
  <xsd:schema xmlns:xsd="http://www.w3.org/2001/XMLSchema" xmlns:xs="http://www.w3.org/2001/XMLSchema" xmlns:p="http://schemas.microsoft.com/office/2006/metadata/properties" targetNamespace="http://schemas.microsoft.com/office/2006/metadata/properties" ma:root="true" ma:fieldsID="6552e17932849a6e52ec7291f1d302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9335C8A-8662-45EB-8DC1-DABB6BB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C72BFF26-A0FC-4426-A0A5-48806AAE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230</Words>
  <Characters>1312</Characters>
  <Application>Microsoft Office Word</Application>
  <DocSecurity>0</DocSecurity>
  <Lines>10</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7</cp:revision>
  <cp:lastPrinted>2021-04-28T07:45:00Z</cp:lastPrinted>
  <dcterms:created xsi:type="dcterms:W3CDTF">2015-04-20T09:58:00Z</dcterms:created>
  <dcterms:modified xsi:type="dcterms:W3CDTF">2021-04-28T07:45:00Z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2157119</vt:r8>
  </property>
</Properties>
</file>