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2156248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שלמה קרעי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חוה אתי </w:t>
      </w:r>
      <w:proofErr w:type="spellStart"/>
      <w:r>
        <w:rPr>
          <w:rFonts w:hint="cs"/>
          <w:b/>
          <w:bCs/>
          <w:rtl/>
        </w:rPr>
        <w:t>עטייה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אבוטבול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ישראל </w:t>
      </w:r>
      <w:proofErr w:type="spellStart"/>
      <w:r>
        <w:rPr>
          <w:rFonts w:hint="cs"/>
          <w:b/>
          <w:bCs/>
          <w:rtl/>
        </w:rPr>
        <w:t>אייכלר</w:t>
      </w:r>
      <w:bookmarkEnd w:id="3"/>
      <w:proofErr w:type="spellEnd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39544A7B" w:rsidR="00E13C27" w:rsidRPr="00E06736" w:rsidRDefault="00904591" w:rsidP="00717BEC">
      <w:pPr>
        <w:pStyle w:val="David"/>
        <w:spacing w:line="240" w:lineRule="auto"/>
        <w:ind w:left="6424" w:firstLine="56"/>
        <w:rPr>
          <w:rtl/>
        </w:rPr>
      </w:pPr>
      <w:bookmarkStart w:id="4" w:name="Private_Number"/>
      <w:r>
        <w:rPr>
          <w:rFonts w:hint="cs"/>
          <w:rtl/>
        </w:rPr>
        <w:t>פ/342/24</w:t>
      </w:r>
      <w:bookmarkEnd w:id="4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 xml:space="preserve">הצעת חוק ההוצאה לפועל (תיקון – ביטול הגבלת רישיון נהיגה), </w:t>
      </w:r>
      <w:proofErr w:type="spellStart"/>
      <w:r>
        <w:rPr>
          <w:rFonts w:hint="cs"/>
          <w:rtl/>
        </w:rPr>
        <w:t>התשפ"א</w:t>
      </w:r>
      <w:proofErr w:type="spellEnd"/>
      <w:r>
        <w:rPr>
          <w:rFonts w:hint="cs"/>
          <w:rtl/>
        </w:rPr>
        <w:t>–2021</w:t>
      </w:r>
      <w:bookmarkEnd w:id="5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0225DC" w14:paraId="590EB3DA" w14:textId="77777777" w:rsidTr="0094277C">
        <w:trPr>
          <w:cantSplit/>
        </w:trPr>
        <w:tc>
          <w:tcPr>
            <w:tcW w:w="1871" w:type="dxa"/>
            <w:hideMark/>
          </w:tcPr>
          <w:p w14:paraId="356421FE" w14:textId="77777777" w:rsidR="000225DC" w:rsidRDefault="000225DC" w:rsidP="008401AF">
            <w:pPr>
              <w:pStyle w:val="TableSideHeading"/>
              <w:keepLines w:val="0"/>
            </w:pPr>
            <w:r>
              <w:rPr>
                <w:rtl/>
              </w:rPr>
              <w:t>תיקון סעיף 66א</w:t>
            </w:r>
          </w:p>
        </w:tc>
        <w:tc>
          <w:tcPr>
            <w:tcW w:w="624" w:type="dxa"/>
            <w:hideMark/>
          </w:tcPr>
          <w:p w14:paraId="5D78D3C8" w14:textId="77777777" w:rsidR="000225DC" w:rsidRDefault="000225DC" w:rsidP="008401AF">
            <w:pPr>
              <w:pStyle w:val="TableText"/>
              <w:keepLines w:val="0"/>
            </w:pPr>
            <w:r>
              <w:rPr>
                <w:rtl/>
              </w:rPr>
              <w:t>1.</w:t>
            </w:r>
          </w:p>
        </w:tc>
        <w:tc>
          <w:tcPr>
            <w:tcW w:w="7143" w:type="dxa"/>
          </w:tcPr>
          <w:p w14:paraId="7F617692" w14:textId="77777777" w:rsidR="000225DC" w:rsidRPr="006E4FD7" w:rsidRDefault="000225DC" w:rsidP="0094277C">
            <w:pPr>
              <w:pStyle w:val="TableBlock"/>
            </w:pPr>
            <w:r>
              <w:rPr>
                <w:rtl/>
              </w:rPr>
              <w:t xml:space="preserve">בחוק ההוצאה לפועל, </w:t>
            </w:r>
            <w:proofErr w:type="spellStart"/>
            <w:r>
              <w:rPr>
                <w:rtl/>
              </w:rPr>
              <w:t>התשכ"ז</w:t>
            </w:r>
            <w:proofErr w:type="spellEnd"/>
            <w:r>
              <w:rPr>
                <w:rtl/>
              </w:rPr>
              <w:t>–1967</w:t>
            </w:r>
            <w:r w:rsidRPr="0094277C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בסעיף 66א, </w:t>
            </w:r>
            <w:r>
              <w:rPr>
                <w:rtl/>
              </w:rPr>
              <w:t xml:space="preserve">פסקה (6) – תימחק. </w:t>
            </w:r>
          </w:p>
        </w:tc>
      </w:tr>
    </w:tbl>
    <w:p w14:paraId="241692EE" w14:textId="77777777" w:rsidR="000225DC" w:rsidRPr="0094277C" w:rsidRDefault="000225DC" w:rsidP="0094277C">
      <w:pPr>
        <w:pStyle w:val="HeadDivreiHesber"/>
        <w:rPr>
          <w:rtl/>
        </w:rPr>
      </w:pPr>
      <w:r w:rsidRPr="0094277C">
        <w:rPr>
          <w:rFonts w:hint="cs"/>
          <w:rtl/>
        </w:rPr>
        <w:t>דברי הסבר</w:t>
      </w:r>
    </w:p>
    <w:p w14:paraId="110F7B0C" w14:textId="77777777" w:rsidR="000225DC" w:rsidRPr="0094277C" w:rsidRDefault="000225DC" w:rsidP="00C04CC2">
      <w:pPr>
        <w:pStyle w:val="Hesber"/>
        <w:spacing w:line="276" w:lineRule="auto"/>
        <w:rPr>
          <w:rtl/>
        </w:rPr>
      </w:pPr>
      <w:bookmarkStart w:id="6" w:name="ABSTRACT_START"/>
      <w:bookmarkEnd w:id="6"/>
      <w:r w:rsidRPr="0094277C">
        <w:rPr>
          <w:rFonts w:hint="cs"/>
          <w:rtl/>
        </w:rPr>
        <w:t>מטרתו של ה</w:t>
      </w:r>
      <w:r w:rsidRPr="0094277C">
        <w:rPr>
          <w:rtl/>
        </w:rPr>
        <w:t xml:space="preserve">תיקון </w:t>
      </w:r>
      <w:r w:rsidRPr="0094277C">
        <w:rPr>
          <w:rFonts w:hint="cs"/>
          <w:rtl/>
        </w:rPr>
        <w:t xml:space="preserve">המוצע </w:t>
      </w:r>
      <w:r w:rsidRPr="0094277C">
        <w:rPr>
          <w:rtl/>
        </w:rPr>
        <w:t>לחוק ההוצאה לפועל</w:t>
      </w:r>
      <w:r w:rsidRPr="0094277C">
        <w:rPr>
          <w:rFonts w:hint="cs"/>
          <w:rtl/>
        </w:rPr>
        <w:t xml:space="preserve">, </w:t>
      </w:r>
      <w:proofErr w:type="spellStart"/>
      <w:r w:rsidRPr="0094277C">
        <w:rPr>
          <w:rFonts w:hint="cs"/>
          <w:rtl/>
        </w:rPr>
        <w:t>התשכ"ז</w:t>
      </w:r>
      <w:proofErr w:type="spellEnd"/>
      <w:r w:rsidRPr="0094277C">
        <w:rPr>
          <w:rFonts w:hint="cs"/>
          <w:rtl/>
        </w:rPr>
        <w:t>–1967</w:t>
      </w:r>
      <w:r w:rsidRPr="0094277C">
        <w:rPr>
          <w:rtl/>
        </w:rPr>
        <w:t xml:space="preserve">, </w:t>
      </w:r>
      <w:r w:rsidRPr="0094277C">
        <w:rPr>
          <w:rFonts w:hint="cs"/>
          <w:rtl/>
        </w:rPr>
        <w:t>היא לבטל</w:t>
      </w:r>
      <w:r w:rsidRPr="0094277C">
        <w:rPr>
          <w:rtl/>
        </w:rPr>
        <w:t xml:space="preserve"> את הסמכות ל</w:t>
      </w:r>
      <w:r w:rsidRPr="0094277C">
        <w:rPr>
          <w:rFonts w:hint="cs"/>
          <w:rtl/>
        </w:rPr>
        <w:t>הגביל ול</w:t>
      </w:r>
      <w:r w:rsidRPr="0094277C">
        <w:rPr>
          <w:rtl/>
        </w:rPr>
        <w:t xml:space="preserve">שלול את רישיון הנהיגה של </w:t>
      </w:r>
      <w:r w:rsidRPr="0094277C">
        <w:rPr>
          <w:rFonts w:hint="cs"/>
          <w:rtl/>
        </w:rPr>
        <w:t>חייבים</w:t>
      </w:r>
      <w:r w:rsidRPr="0094277C">
        <w:rPr>
          <w:rtl/>
        </w:rPr>
        <w:t xml:space="preserve"> </w:t>
      </w:r>
      <w:r w:rsidRPr="0094277C">
        <w:rPr>
          <w:rFonts w:hint="cs"/>
          <w:rtl/>
        </w:rPr>
        <w:t>ב</w:t>
      </w:r>
      <w:r w:rsidRPr="0094277C">
        <w:rPr>
          <w:rtl/>
        </w:rPr>
        <w:t>הליכי הוצאה לפועל</w:t>
      </w:r>
      <w:bookmarkStart w:id="7" w:name="ABSTRACT_END"/>
      <w:bookmarkEnd w:id="7"/>
      <w:r w:rsidRPr="0094277C">
        <w:rPr>
          <w:rFonts w:hint="cs"/>
          <w:rtl/>
        </w:rPr>
        <w:t>.</w:t>
      </w:r>
    </w:p>
    <w:p w14:paraId="19F032E2" w14:textId="77777777" w:rsidR="000225DC" w:rsidRPr="0094277C" w:rsidRDefault="000225DC" w:rsidP="00C04CC2">
      <w:pPr>
        <w:pStyle w:val="Hesber"/>
        <w:spacing w:line="276" w:lineRule="auto"/>
        <w:rPr>
          <w:rtl/>
        </w:rPr>
      </w:pPr>
      <w:r w:rsidRPr="0094277C">
        <w:rPr>
          <w:rtl/>
        </w:rPr>
        <w:t>שלילת רישיון הנהיגה של חייב פוגעת באופן ישיר ביכולתו להתפרנס</w:t>
      </w:r>
      <w:r w:rsidRPr="0094277C">
        <w:rPr>
          <w:rFonts w:hint="cs"/>
          <w:rtl/>
        </w:rPr>
        <w:t xml:space="preserve"> מנהיגה</w:t>
      </w:r>
      <w:r w:rsidRPr="0094277C">
        <w:rPr>
          <w:rtl/>
        </w:rPr>
        <w:t>. מכאן נובע ששלילת הרישיון פוגעת באפשרותו להחזיר את חוב</w:t>
      </w:r>
      <w:r w:rsidRPr="0094277C">
        <w:rPr>
          <w:rFonts w:hint="cs"/>
          <w:rtl/>
        </w:rPr>
        <w:t>ו</w:t>
      </w:r>
      <w:r w:rsidRPr="0094277C">
        <w:rPr>
          <w:rtl/>
        </w:rPr>
        <w:t xml:space="preserve">. </w:t>
      </w:r>
      <w:r w:rsidRPr="0094277C">
        <w:rPr>
          <w:rFonts w:hint="cs"/>
          <w:rtl/>
        </w:rPr>
        <w:t>הצעת</w:t>
      </w:r>
      <w:r w:rsidRPr="0094277C">
        <w:rPr>
          <w:rtl/>
        </w:rPr>
        <w:t xml:space="preserve"> החוק </w:t>
      </w:r>
      <w:r w:rsidRPr="0094277C">
        <w:rPr>
          <w:rFonts w:hint="cs"/>
          <w:rtl/>
        </w:rPr>
        <w:t>נועדה</w:t>
      </w:r>
      <w:r w:rsidRPr="0094277C">
        <w:rPr>
          <w:rtl/>
        </w:rPr>
        <w:t xml:space="preserve"> לתקן את המצב האבסורדי שנוצר</w:t>
      </w:r>
      <w:r w:rsidRPr="0094277C">
        <w:rPr>
          <w:rFonts w:hint="cs"/>
          <w:rtl/>
        </w:rPr>
        <w:t xml:space="preserve"> כתוצאה מכך –</w:t>
      </w:r>
      <w:r w:rsidRPr="0094277C">
        <w:rPr>
          <w:rtl/>
        </w:rPr>
        <w:t xml:space="preserve"> פגיעה בפרנס</w:t>
      </w:r>
      <w:r w:rsidRPr="0094277C">
        <w:rPr>
          <w:rFonts w:hint="cs"/>
          <w:rtl/>
        </w:rPr>
        <w:t>ת</w:t>
      </w:r>
      <w:r w:rsidRPr="0094277C">
        <w:rPr>
          <w:rtl/>
        </w:rPr>
        <w:t xml:space="preserve"> אדם המצוי בחובות כבדים.</w:t>
      </w:r>
    </w:p>
    <w:p w14:paraId="2EDCD26F" w14:textId="77777777" w:rsidR="000225DC" w:rsidRPr="0094277C" w:rsidRDefault="000225DC" w:rsidP="00C04CC2">
      <w:pPr>
        <w:pStyle w:val="Hesber"/>
        <w:spacing w:line="276" w:lineRule="auto"/>
        <w:rPr>
          <w:rtl/>
        </w:rPr>
      </w:pPr>
      <w:r w:rsidRPr="0094277C">
        <w:rPr>
          <w:rtl/>
        </w:rPr>
        <w:t xml:space="preserve">כמו כן, שלילת רישיון הנהיגה פוגעת בחיי המשפחה של החייבים. אדם שרישיונו נשלל </w:t>
      </w:r>
      <w:r w:rsidRPr="0094277C">
        <w:rPr>
          <w:rFonts w:hint="cs"/>
          <w:rtl/>
        </w:rPr>
        <w:t>מתקשה</w:t>
      </w:r>
      <w:r w:rsidRPr="0094277C">
        <w:rPr>
          <w:rtl/>
        </w:rPr>
        <w:t xml:space="preserve"> בתפקוד </w:t>
      </w:r>
      <w:r w:rsidRPr="0094277C">
        <w:rPr>
          <w:rFonts w:hint="cs"/>
          <w:rtl/>
        </w:rPr>
        <w:t>ה</w:t>
      </w:r>
      <w:r w:rsidRPr="0094277C">
        <w:rPr>
          <w:rtl/>
        </w:rPr>
        <w:t>הורי ובמילוי משימות פשוטות בחיי היום</w:t>
      </w:r>
      <w:r w:rsidRPr="0094277C">
        <w:rPr>
          <w:rFonts w:hint="cs"/>
          <w:rtl/>
        </w:rPr>
        <w:t>-י</w:t>
      </w:r>
      <w:r w:rsidRPr="0094277C">
        <w:rPr>
          <w:rtl/>
        </w:rPr>
        <w:t>ום</w:t>
      </w:r>
      <w:r w:rsidRPr="0094277C">
        <w:rPr>
          <w:rFonts w:hint="cs"/>
          <w:rtl/>
        </w:rPr>
        <w:t>. הקושי מתגבר בייחוד כשמדובר בחייבים</w:t>
      </w:r>
      <w:r w:rsidRPr="0094277C">
        <w:rPr>
          <w:rtl/>
        </w:rPr>
        <w:t xml:space="preserve"> </w:t>
      </w:r>
      <w:r w:rsidRPr="0094277C">
        <w:rPr>
          <w:rFonts w:hint="cs"/>
          <w:rtl/>
        </w:rPr>
        <w:t>תושבי ה</w:t>
      </w:r>
      <w:r w:rsidRPr="0094277C">
        <w:rPr>
          <w:rtl/>
        </w:rPr>
        <w:t>פריפריה</w:t>
      </w:r>
      <w:r w:rsidRPr="0094277C">
        <w:rPr>
          <w:rFonts w:hint="cs"/>
          <w:rtl/>
        </w:rPr>
        <w:t xml:space="preserve"> </w:t>
      </w:r>
      <w:r w:rsidRPr="0094277C">
        <w:rPr>
          <w:rtl/>
        </w:rPr>
        <w:t xml:space="preserve">או </w:t>
      </w:r>
      <w:r w:rsidRPr="0094277C">
        <w:rPr>
          <w:rFonts w:hint="cs"/>
          <w:rtl/>
        </w:rPr>
        <w:t>אזורים אחרים</w:t>
      </w:r>
      <w:r w:rsidRPr="0094277C">
        <w:rPr>
          <w:rtl/>
        </w:rPr>
        <w:t xml:space="preserve"> </w:t>
      </w:r>
      <w:r w:rsidRPr="0094277C">
        <w:rPr>
          <w:rFonts w:hint="cs"/>
          <w:rtl/>
        </w:rPr>
        <w:t xml:space="preserve">הנעדרים תחבורה ציבורית יעילה ומספקת. </w:t>
      </w:r>
      <w:r w:rsidRPr="0094277C">
        <w:rPr>
          <w:rtl/>
        </w:rPr>
        <w:t xml:space="preserve"> </w:t>
      </w:r>
    </w:p>
    <w:p w14:paraId="6881A6FE" w14:textId="77777777" w:rsidR="000225DC" w:rsidRPr="0094277C" w:rsidRDefault="000225DC" w:rsidP="00C04CC2">
      <w:pPr>
        <w:pStyle w:val="Hesber"/>
        <w:spacing w:line="276" w:lineRule="auto"/>
        <w:rPr>
          <w:rtl/>
        </w:rPr>
      </w:pPr>
      <w:r w:rsidRPr="0094277C">
        <w:rPr>
          <w:rFonts w:hint="cs"/>
          <w:rtl/>
        </w:rPr>
        <w:t>מטרת ההצעה</w:t>
      </w:r>
      <w:r w:rsidRPr="0094277C">
        <w:rPr>
          <w:rtl/>
        </w:rPr>
        <w:t xml:space="preserve"> </w:t>
      </w:r>
      <w:r w:rsidRPr="0094277C">
        <w:rPr>
          <w:rFonts w:hint="cs"/>
          <w:rtl/>
        </w:rPr>
        <w:t xml:space="preserve">אינה </w:t>
      </w:r>
      <w:r w:rsidRPr="0094277C">
        <w:rPr>
          <w:rtl/>
        </w:rPr>
        <w:t xml:space="preserve">לפגוע בתפקודה של לשכת ההוצאה לפועל, אלא לשפר את </w:t>
      </w:r>
      <w:r w:rsidRPr="0094277C">
        <w:rPr>
          <w:rFonts w:hint="cs"/>
          <w:rtl/>
        </w:rPr>
        <w:t>תפקודם</w:t>
      </w:r>
      <w:r w:rsidRPr="0094277C">
        <w:rPr>
          <w:rtl/>
        </w:rPr>
        <w:t xml:space="preserve"> של </w:t>
      </w:r>
      <w:r w:rsidRPr="0094277C">
        <w:rPr>
          <w:rFonts w:hint="cs"/>
          <w:rtl/>
        </w:rPr>
        <w:t>חייבים</w:t>
      </w:r>
      <w:r w:rsidRPr="0094277C">
        <w:rPr>
          <w:rtl/>
        </w:rPr>
        <w:t xml:space="preserve"> המצויים במצב קשה </w:t>
      </w:r>
      <w:r w:rsidRPr="0094277C">
        <w:rPr>
          <w:rFonts w:hint="cs"/>
          <w:rtl/>
        </w:rPr>
        <w:t>ממילא מעצם מעורבותם בהליכי ההוצאה לפועל,</w:t>
      </w:r>
      <w:r w:rsidRPr="0094277C">
        <w:rPr>
          <w:rtl/>
        </w:rPr>
        <w:t xml:space="preserve"> ו</w:t>
      </w:r>
      <w:r w:rsidRPr="0094277C">
        <w:rPr>
          <w:rFonts w:hint="cs"/>
          <w:rtl/>
        </w:rPr>
        <w:t>להקל</w:t>
      </w:r>
      <w:r w:rsidRPr="0094277C">
        <w:rPr>
          <w:rtl/>
        </w:rPr>
        <w:t xml:space="preserve"> עליהם להחזיר את חובם.</w:t>
      </w:r>
    </w:p>
    <w:p w14:paraId="34229612" w14:textId="1061DBF0" w:rsidR="000225DC" w:rsidRPr="0094277C" w:rsidRDefault="000225DC" w:rsidP="00C04CC2">
      <w:pPr>
        <w:pStyle w:val="Hesber"/>
        <w:spacing w:line="276" w:lineRule="auto"/>
        <w:rPr>
          <w:rtl/>
        </w:rPr>
      </w:pPr>
      <w:r w:rsidRPr="0094277C">
        <w:rPr>
          <w:rtl/>
        </w:rPr>
        <w:t>הצעות חוק זהות הונחו על שולחן הכנסת העשרים על ידי חברת הכנסת קארין אלהרר וקבוצת חברי הכנסת (פ/1067/20</w:t>
      </w:r>
      <w:r w:rsidRPr="0094277C">
        <w:rPr>
          <w:rFonts w:hint="cs"/>
          <w:rtl/>
        </w:rPr>
        <w:t xml:space="preserve">; הוסרה מסדר היום ביום י"א בטבת </w:t>
      </w:r>
      <w:proofErr w:type="spellStart"/>
      <w:r w:rsidRPr="0094277C">
        <w:rPr>
          <w:rFonts w:hint="cs"/>
          <w:rtl/>
        </w:rPr>
        <w:t>התשע"ט</w:t>
      </w:r>
      <w:proofErr w:type="spellEnd"/>
      <w:r w:rsidRPr="0094277C">
        <w:rPr>
          <w:rFonts w:hint="cs"/>
          <w:rtl/>
        </w:rPr>
        <w:t xml:space="preserve"> (19 בדצמבר 2019)</w:t>
      </w:r>
      <w:r w:rsidRPr="0094277C">
        <w:rPr>
          <w:rtl/>
        </w:rPr>
        <w:t xml:space="preserve">), על ידי חבר הכנסת </w:t>
      </w:r>
      <w:proofErr w:type="spellStart"/>
      <w:r w:rsidRPr="0094277C">
        <w:rPr>
          <w:rtl/>
        </w:rPr>
        <w:t>איימן</w:t>
      </w:r>
      <w:proofErr w:type="spellEnd"/>
      <w:r w:rsidRPr="0094277C">
        <w:rPr>
          <w:rtl/>
        </w:rPr>
        <w:t xml:space="preserve"> עודה וקבוצת חברי הכנסת (פ/1068/20; הוסרה מסדר היום ביום כ"ז בכסלו </w:t>
      </w:r>
      <w:proofErr w:type="spellStart"/>
      <w:r w:rsidRPr="0094277C">
        <w:rPr>
          <w:rtl/>
        </w:rPr>
        <w:t>התשע"ו</w:t>
      </w:r>
      <w:proofErr w:type="spellEnd"/>
      <w:r w:rsidRPr="0094277C">
        <w:rPr>
          <w:rtl/>
        </w:rPr>
        <w:t xml:space="preserve"> (9 בדצמבר 2015)), על ידי חבר הכנסת טלב אבו </w:t>
      </w:r>
      <w:proofErr w:type="spellStart"/>
      <w:r w:rsidRPr="0094277C">
        <w:rPr>
          <w:rtl/>
        </w:rPr>
        <w:t>עראר</w:t>
      </w:r>
      <w:proofErr w:type="spellEnd"/>
      <w:r w:rsidRPr="0094277C">
        <w:rPr>
          <w:rtl/>
        </w:rPr>
        <w:t xml:space="preserve"> וקבוצת חברי הכנסת (פ/1316/20), על ידי חבר הכנסת איציק שמולי (פ/3090/20), על ידי חבר הכנסת יחיאל </w:t>
      </w:r>
      <w:proofErr w:type="spellStart"/>
      <w:r w:rsidRPr="0094277C">
        <w:rPr>
          <w:rtl/>
        </w:rPr>
        <w:t>חיליק</w:t>
      </w:r>
      <w:proofErr w:type="spellEnd"/>
      <w:r w:rsidRPr="0094277C">
        <w:rPr>
          <w:rtl/>
        </w:rPr>
        <w:t xml:space="preserve"> בר וקבוצת חברי הכנסת (פ/5008/20)</w:t>
      </w:r>
      <w:r w:rsidRPr="0094277C">
        <w:rPr>
          <w:rFonts w:hint="cs"/>
          <w:rtl/>
        </w:rPr>
        <w:t xml:space="preserve"> ו</w:t>
      </w:r>
      <w:r w:rsidRPr="0094277C">
        <w:rPr>
          <w:rtl/>
        </w:rPr>
        <w:t>על ידי חברת הכנסת</w:t>
      </w:r>
      <w:r w:rsidRPr="0094277C">
        <w:rPr>
          <w:rFonts w:hint="cs"/>
          <w:rtl/>
        </w:rPr>
        <w:t xml:space="preserve"> שרן השכל (פ/5095/20), על שולחן הכנסת העשרים ושתי</w:t>
      </w:r>
      <w:r w:rsidR="00717BEC">
        <w:rPr>
          <w:rFonts w:hint="cs"/>
          <w:rtl/>
        </w:rPr>
        <w:t>י</w:t>
      </w:r>
      <w:r w:rsidRPr="0094277C">
        <w:rPr>
          <w:rFonts w:hint="cs"/>
          <w:rtl/>
        </w:rPr>
        <w:t xml:space="preserve">ם על ידי חברת הכנסת שרן </w:t>
      </w:r>
      <w:r w:rsidR="00717BEC">
        <w:rPr>
          <w:rFonts w:hint="cs"/>
          <w:rtl/>
        </w:rPr>
        <w:t xml:space="preserve">מרים </w:t>
      </w:r>
      <w:r w:rsidRPr="0094277C">
        <w:rPr>
          <w:rFonts w:hint="cs"/>
          <w:rtl/>
        </w:rPr>
        <w:t xml:space="preserve">השכל (פ/85/22), על ידי חבר הכנסת </w:t>
      </w:r>
      <w:proofErr w:type="spellStart"/>
      <w:r w:rsidRPr="0094277C">
        <w:rPr>
          <w:rFonts w:hint="cs"/>
          <w:rtl/>
        </w:rPr>
        <w:t>דסטה</w:t>
      </w:r>
      <w:proofErr w:type="spellEnd"/>
      <w:r w:rsidRPr="0094277C">
        <w:rPr>
          <w:rFonts w:hint="cs"/>
          <w:rtl/>
        </w:rPr>
        <w:t xml:space="preserve"> גדי </w:t>
      </w:r>
      <w:proofErr w:type="spellStart"/>
      <w:r w:rsidRPr="0094277C">
        <w:rPr>
          <w:rFonts w:hint="cs"/>
          <w:rtl/>
        </w:rPr>
        <w:t>יברקן</w:t>
      </w:r>
      <w:proofErr w:type="spellEnd"/>
      <w:r w:rsidRPr="0094277C">
        <w:rPr>
          <w:rFonts w:hint="cs"/>
          <w:rtl/>
        </w:rPr>
        <w:t xml:space="preserve"> (פ/87/22) ועל ידי חבר הכנסת איציק שמולי (פ/825/22)</w:t>
      </w:r>
      <w:r w:rsidR="0094277C" w:rsidRPr="0094277C">
        <w:rPr>
          <w:rFonts w:hint="cs"/>
          <w:rtl/>
        </w:rPr>
        <w:t>, ו</w:t>
      </w:r>
      <w:r w:rsidRPr="0094277C">
        <w:rPr>
          <w:rtl/>
        </w:rPr>
        <w:t>על שולחן הכנסת העשרים ושלוש על ידי חבר הכנסת שלמה קרעי</w:t>
      </w:r>
      <w:r w:rsidRPr="0094277C">
        <w:rPr>
          <w:rFonts w:hint="cs"/>
          <w:rtl/>
        </w:rPr>
        <w:t xml:space="preserve"> </w:t>
      </w:r>
      <w:r w:rsidR="0094277C" w:rsidRPr="0094277C">
        <w:rPr>
          <w:rFonts w:hint="cs"/>
          <w:rtl/>
        </w:rPr>
        <w:t>(</w:t>
      </w:r>
      <w:r w:rsidRPr="0094277C">
        <w:rPr>
          <w:rFonts w:hint="cs"/>
          <w:rtl/>
        </w:rPr>
        <w:t>פ/32/23</w:t>
      </w:r>
      <w:r w:rsidR="0094277C" w:rsidRPr="0094277C">
        <w:rPr>
          <w:rFonts w:hint="cs"/>
          <w:rtl/>
        </w:rPr>
        <w:t>).</w:t>
      </w:r>
    </w:p>
    <w:p w14:paraId="25B0C2EF" w14:textId="5DED6948" w:rsidR="0094277C" w:rsidRPr="0094277C" w:rsidRDefault="00717BEC" w:rsidP="00C04CC2">
      <w:pPr>
        <w:pStyle w:val="Hesber"/>
        <w:spacing w:line="276" w:lineRule="auto"/>
      </w:pPr>
      <w:r>
        <w:rPr>
          <w:rtl/>
        </w:rPr>
        <w:t>הצע</w:t>
      </w:r>
      <w:r>
        <w:rPr>
          <w:rFonts w:hint="cs"/>
          <w:rtl/>
        </w:rPr>
        <w:t>ת החוק</w:t>
      </w:r>
      <w:r w:rsidR="0094277C" w:rsidRPr="0094277C">
        <w:rPr>
          <w:rtl/>
        </w:rPr>
        <w:t xml:space="preserve"> זהה </w:t>
      </w:r>
      <w:proofErr w:type="spellStart"/>
      <w:r w:rsidR="0094277C" w:rsidRPr="0094277C">
        <w:rPr>
          <w:rtl/>
        </w:rPr>
        <w:t>לפ</w:t>
      </w:r>
      <w:proofErr w:type="spellEnd"/>
      <w:r w:rsidR="0094277C" w:rsidRPr="0094277C">
        <w:rPr>
          <w:rtl/>
        </w:rPr>
        <w:t>/</w:t>
      </w:r>
      <w:r w:rsidR="0094277C" w:rsidRPr="0094277C">
        <w:rPr>
          <w:rFonts w:hint="cs"/>
          <w:rtl/>
        </w:rPr>
        <w:t>32/23</w:t>
      </w:r>
      <w:r w:rsidR="0094277C" w:rsidRPr="0094277C">
        <w:rPr>
          <w:rtl/>
        </w:rPr>
        <w:t xml:space="preserve"> ולפיכך לא נבדקה מחדש על ידי הלשכה המשפטית של הכנסת</w:t>
      </w:r>
      <w:r w:rsidR="0094277C" w:rsidRPr="0094277C">
        <w:rPr>
          <w:rFonts w:hint="cs"/>
          <w:rtl/>
        </w:rPr>
        <w:t>.</w:t>
      </w:r>
    </w:p>
    <w:p w14:paraId="63562AEF" w14:textId="77777777" w:rsidR="00C431E1" w:rsidRDefault="00381207" w:rsidP="00381207">
      <w:pPr>
        <w:spacing w:line="240" w:lineRule="auto"/>
        <w:jc w:val="left"/>
      </w:pPr>
      <w:bookmarkStart w:id="8" w:name="selectedDocDateB"/>
      <w:bookmarkEnd w:id="8"/>
      <w:r>
        <w:rPr>
          <w:rFonts w:eastAsia="David" w:hint="cs"/>
          <w:sz w:val="26"/>
          <w:szCs w:val="26"/>
          <w:rtl/>
        </w:rPr>
        <w:t>--------------------------------</w:t>
      </w:r>
    </w:p>
    <w:p w14:paraId="7BB9FD72" w14:textId="77777777" w:rsidR="00C431E1" w:rsidRDefault="00381207" w:rsidP="00381207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lastRenderedPageBreak/>
        <w:t>הוגשה ליו"ר הכנסת והסגנים</w:t>
      </w:r>
    </w:p>
    <w:p w14:paraId="293CEA76" w14:textId="77777777" w:rsidR="00C431E1" w:rsidRDefault="00381207" w:rsidP="00381207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 xml:space="preserve">והונחה על שולחן הכנסת </w:t>
      </w:r>
      <w:r>
        <w:rPr>
          <w:rFonts w:eastAsia="David" w:hint="cs"/>
          <w:sz w:val="26"/>
          <w:szCs w:val="26"/>
          <w:rtl/>
        </w:rPr>
        <w:t>ביום</w:t>
      </w:r>
    </w:p>
    <w:p w14:paraId="20FB8803" w14:textId="77777777" w:rsidR="00C431E1" w:rsidRDefault="00381207" w:rsidP="00381207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 xml:space="preserve">כ"א באייר התשפ"א (03.05.2021) </w:t>
      </w:r>
      <w:bookmarkStart w:id="9" w:name="_GoBack"/>
      <w:bookmarkEnd w:id="9"/>
    </w:p>
    <w:p w14:paraId="44D2BAD4" w14:textId="77777777" w:rsidR="00C431E1" w:rsidRDefault="00C431E1" w:rsidP="00381207">
      <w:pPr>
        <w:spacing w:line="240" w:lineRule="auto"/>
        <w:jc w:val="left"/>
      </w:pPr>
    </w:p>
    <w:sectPr w:rsidR="00C431E1" w:rsidSect="0094277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81207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94277C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DE4037C" w14:textId="77777777" w:rsidR="000225DC" w:rsidRDefault="000225DC" w:rsidP="000225DC">
      <w:pPr>
        <w:pStyle w:val="a4"/>
        <w:rPr>
          <w:rtl/>
        </w:rPr>
      </w:pPr>
      <w:r>
        <w:rPr>
          <w:rStyle w:val="a6"/>
        </w:rPr>
        <w:footnoteRef/>
      </w:r>
      <w:r>
        <w:rPr>
          <w:sz w:val="20"/>
          <w:rtl/>
        </w:rPr>
        <w:t xml:space="preserve"> ס"ח </w:t>
      </w:r>
      <w:proofErr w:type="spellStart"/>
      <w:r>
        <w:rPr>
          <w:sz w:val="20"/>
          <w:rtl/>
        </w:rPr>
        <w:t>התשכ"ז</w:t>
      </w:r>
      <w:proofErr w:type="spellEnd"/>
      <w:r>
        <w:rPr>
          <w:sz w:val="20"/>
          <w:rtl/>
        </w:rPr>
        <w:t xml:space="preserve">, עמ' 116.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25DC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1207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17BEC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277C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04CC2"/>
    <w:rsid w:val="00C23B1A"/>
    <w:rsid w:val="00C310EB"/>
    <w:rsid w:val="00C431E1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1222DD5-45E2-4FCF-8813-18BD88A8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7C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277C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94277C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94277C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94277C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4277C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4277C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4277C"/>
    <w:rPr>
      <w:sz w:val="36"/>
      <w:szCs w:val="52"/>
    </w:rPr>
  </w:style>
  <w:style w:type="paragraph" w:customStyle="1" w:styleId="Cover3-Haknesset">
    <w:name w:val="Cover 3-Haknesset"/>
    <w:basedOn w:val="Cover1-Reshumot"/>
    <w:rsid w:val="0094277C"/>
    <w:rPr>
      <w:b/>
      <w:bCs/>
      <w:spacing w:val="60"/>
    </w:rPr>
  </w:style>
  <w:style w:type="paragraph" w:customStyle="1" w:styleId="Cover4-Date">
    <w:name w:val="Cover 4-Date"/>
    <w:basedOn w:val="a"/>
    <w:rsid w:val="0094277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4277C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94277C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4277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4277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4277C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94277C"/>
    <w:pPr>
      <w:outlineLvl w:val="2"/>
    </w:pPr>
  </w:style>
  <w:style w:type="paragraph" w:customStyle="1" w:styleId="TableBlock">
    <w:name w:val="Table Block"/>
    <w:basedOn w:val="TableText"/>
    <w:rsid w:val="0094277C"/>
    <w:pPr>
      <w:jc w:val="both"/>
    </w:pPr>
  </w:style>
  <w:style w:type="paragraph" w:customStyle="1" w:styleId="TableHead">
    <w:name w:val="Table Head"/>
    <w:basedOn w:val="TableText"/>
    <w:rsid w:val="0094277C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277C"/>
    <w:pPr>
      <w:outlineLvl w:val="9"/>
    </w:pPr>
  </w:style>
  <w:style w:type="paragraph" w:customStyle="1" w:styleId="Hesber">
    <w:name w:val="Hesber"/>
    <w:basedOn w:val="a"/>
    <w:rsid w:val="0094277C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94277C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94277C"/>
    <w:rPr>
      <w:vertAlign w:val="superscript"/>
    </w:rPr>
  </w:style>
  <w:style w:type="paragraph" w:customStyle="1" w:styleId="HesberHeading">
    <w:name w:val="Hesber Heading"/>
    <w:basedOn w:val="Hesber"/>
    <w:rsid w:val="0094277C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94277C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94277C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94277C"/>
    <w:rPr>
      <w:vertAlign w:val="superscript"/>
    </w:rPr>
  </w:style>
  <w:style w:type="paragraph" w:customStyle="1" w:styleId="TableBlockOutdent">
    <w:name w:val="Table BlockOutdent"/>
    <w:basedOn w:val="TableBlock"/>
    <w:rsid w:val="0094277C"/>
    <w:pPr>
      <w:ind w:left="624" w:hanging="624"/>
    </w:pPr>
  </w:style>
  <w:style w:type="paragraph" w:styleId="a8">
    <w:name w:val="header"/>
    <w:basedOn w:val="a"/>
    <w:rsid w:val="0094277C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277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4277C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4277C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94277C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0225DC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94277C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94277C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94277C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94277C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94277C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94277C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94277C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94277C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94277C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94277C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94277C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94277C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94277C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94277C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94277C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94277C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94277C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94277C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94277C"/>
    <w:rPr>
      <w:rFonts w:eastAsia="Times New Roman"/>
    </w:rPr>
  </w:style>
  <w:style w:type="paragraph" w:styleId="af">
    <w:name w:val="List Paragraph"/>
    <w:basedOn w:val="a"/>
    <w:uiPriority w:val="34"/>
    <w:qFormat/>
    <w:rsid w:val="0094277C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94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9427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9427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94277C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94277C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2">
    <w:name w:val="Revision"/>
    <w:hidden/>
    <w:uiPriority w:val="99"/>
    <w:semiHidden/>
    <w:rsid w:val="0094277C"/>
    <w:rPr>
      <w:rFonts w:ascii="David" w:eastAsiaTheme="minorHAnsi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2599a629fc4dbd0c6f3d32642fd767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96C88A-0E18-4B3D-A848-097E02BB8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375867-AA78-434F-B8F3-25DAB137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8</cp:revision>
  <cp:lastPrinted>2013-07-04T08:25:00Z</cp:lastPrinted>
  <dcterms:created xsi:type="dcterms:W3CDTF">2015-04-20T09:58:00Z</dcterms:created>
  <dcterms:modified xsi:type="dcterms:W3CDTF">2021-04-28T08:10:00Z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2156248</vt:r8>
  </property>
</Properties>
</file>