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35A2" w:rsidR="002C2E29" w:rsidP="00E635A2" w:rsidRDefault="004033D8" w14:paraId="7F6961A1" w14:textId="77777777">
      <w:pPr>
        <w:jc w:val="right"/>
        <w:rPr>
          <w:rFonts w:cs="David"/>
          <w:b/>
          <w:bCs/>
          <w:sz w:val="20"/>
          <w:szCs w:val="20"/>
        </w:rPr>
      </w:pPr>
      <w:r w:rsidRPr="00E635A2">
        <w:rPr>
          <w:rFonts w:hint="cs" w:cs="David"/>
          <w:sz w:val="20"/>
          <w:szCs w:val="20"/>
          <w:rtl/>
        </w:rPr>
        <w:t xml:space="preserve">מספר פנימי: </w:t>
      </w:r>
      <w:bookmarkStart w:name="LGS_Internal_ID" w:id="0"/>
      <w:r>
        <w:rPr>
          <w:rFonts w:hint="cs" w:cs="David"/>
          <w:sz w:val="20"/>
          <w:szCs w:val="20"/>
          <w:rtl/>
        </w:rPr>
        <w:t>2156159</w:t>
      </w:r>
      <w:bookmarkEnd w:id="0"/>
    </w:p>
    <w:p w:rsidRPr="00DB7060" w:rsidR="00E13C27" w:rsidP="00A443CF" w:rsidRDefault="00E13C27" w14:paraId="7F6961A2" w14:textId="53D639AE">
      <w:pPr>
        <w:pStyle w:val="HeadHatzaotHok"/>
        <w:rPr>
          <w:sz w:val="28"/>
          <w:szCs w:val="28"/>
          <w:rtl/>
        </w:rPr>
      </w:pPr>
      <w:r w:rsidRPr="00DB7060">
        <w:rPr>
          <w:rFonts w:hint="cs"/>
          <w:sz w:val="28"/>
          <w:szCs w:val="28"/>
          <w:rtl/>
        </w:rPr>
        <w:t xml:space="preserve">הכנסת </w:t>
      </w:r>
      <w:bookmarkStart w:name="LGS_Knesset_Num" w:id="1"/>
      <w:r>
        <w:rPr>
          <w:rFonts w:hint="cs"/>
          <w:sz w:val="28"/>
          <w:szCs w:val="28"/>
          <w:rtl/>
        </w:rPr>
        <w:t>העשרים וארבע</w:t>
      </w:r>
      <w:bookmarkEnd w:id="1"/>
    </w:p>
    <w:p w:rsidRPr="00F67051" w:rsidR="00E13C27" w:rsidP="00E13C27" w:rsidRDefault="00E13C27" w14:paraId="7F6961A3" w14:textId="77777777">
      <w:pPr>
        <w:rPr>
          <w:rFonts w:cs="David"/>
          <w:b/>
          <w:bCs/>
          <w:sz w:val="26"/>
          <w:szCs w:val="26"/>
          <w:rtl/>
        </w:rPr>
      </w:pPr>
    </w:p>
    <w:p w:rsidR="00E13C27" w:rsidP="00930EFE" w:rsidRDefault="008F6665" w14:paraId="7F6961A6" w14:textId="77777777">
      <w:pPr>
        <w:pStyle w:val="David"/>
        <w:spacing w:line="360" w:lineRule="auto"/>
        <w:ind w:left="3544"/>
        <w:rPr>
          <w:b/>
          <w:bCs/>
          <w:rtl/>
        </w:rPr>
      </w:pPr>
      <w:bookmarkStart w:name="LGS_Initiators_List" w:id="2"/>
      <w:r>
        <w:rPr>
          <w:b/>
          <w:bCs/>
          <w:rtl/>
        </w:rPr>
        <w:t>יוזם:</w:t>
      </w:r>
      <w:r>
        <w:tab/>
      </w:r>
      <w:r>
        <w:rPr>
          <w:b/>
          <w:bCs/>
          <w:rtl/>
        </w:rPr>
        <w:t xml:space="preserve">      חבר הכנסת</w:t>
      </w:r>
      <w:bookmarkEnd w:id="2"/>
      <w:r w:rsidRPr="00F67051" w:rsidR="00B35784">
        <w:rPr>
          <w:b/>
          <w:bCs/>
        </w:rPr>
        <w:tab/>
      </w:r>
      <w:bookmarkStart w:name="LGS_PM_Names" w:id="3"/>
      <w:r>
        <w:rPr>
          <w:rFonts w:hint="cs"/>
          <w:b/>
          <w:bCs/>
          <w:rtl/>
        </w:rPr>
        <w:t>אופיר כץ</w:t>
      </w:r>
      <w:bookmarkEnd w:id="3"/>
    </w:p>
    <w:p w:rsidRPr="00904591" w:rsidR="00904591" w:rsidP="0036422C" w:rsidRDefault="00266D86" w14:paraId="34DB4103" w14:textId="77777777">
      <w:pPr>
        <w:pStyle w:val="David"/>
        <w:spacing w:before="0" w:line="360" w:lineRule="auto"/>
        <w:ind w:left="3544"/>
        <w:rPr>
          <w:sz w:val="4"/>
          <w:szCs w:val="4"/>
          <w:rtl/>
        </w:rPr>
      </w:pPr>
      <w:r>
        <w:t>____</w:t>
      </w:r>
      <w:r w:rsidR="00E374F2">
        <w:t>__</w:t>
      </w:r>
      <w:r>
        <w:t>________________________________________</w:t>
      </w:r>
      <w:r w:rsidRPr="00E06736" w:rsidR="00E06736">
        <w:tab/>
      </w:r>
      <w:r w:rsidRPr="00E06736" w:rsidR="00E13C27">
        <w:rPr>
          <w:rFonts w:hint="cs"/>
          <w:rtl/>
        </w:rPr>
        <w:tab/>
      </w:r>
      <w:r w:rsidRPr="00E06736" w:rsidR="00E13C27">
        <w:rPr>
          <w:rFonts w:hint="cs"/>
          <w:rtl/>
        </w:rPr>
        <w:tab/>
      </w:r>
      <w:r w:rsidRPr="00E06736" w:rsidR="00E13C27">
        <w:rPr>
          <w:rFonts w:hint="cs"/>
          <w:rtl/>
        </w:rPr>
        <w:tab/>
      </w:r>
      <w:r w:rsidR="00904591">
        <w:t xml:space="preserve">           </w:t>
      </w:r>
    </w:p>
    <w:p w:rsidRPr="00E06736" w:rsidR="00E13C27" w:rsidP="00B41912" w:rsidRDefault="00904591" w14:paraId="7F6961AB" w14:textId="6EA1FF07">
      <w:pPr>
        <w:pStyle w:val="David"/>
        <w:spacing w:before="0" w:line="240" w:lineRule="auto"/>
        <w:ind w:left="3544"/>
        <w:rPr>
          <w:rtl/>
        </w:rPr>
      </w:pPr>
      <w:r>
        <w:t xml:space="preserve"> </w:t>
      </w:r>
      <w:bookmarkStart w:name="Private_Number" w:id="4"/>
      <w:r w:rsidR="00B41912">
        <w:rPr>
          <w:rtl/>
        </w:rPr>
        <w:tab/>
      </w:r>
      <w:r w:rsidR="00B41912">
        <w:rPr>
          <w:rtl/>
        </w:rPr>
        <w:tab/>
      </w:r>
      <w:r w:rsidR="00B41912">
        <w:rPr>
          <w:rtl/>
        </w:rPr>
        <w:tab/>
      </w:r>
      <w:r w:rsidR="00B41912">
        <w:rPr>
          <w:rtl/>
        </w:rPr>
        <w:tab/>
      </w:r>
      <w:r>
        <w:rPr>
          <w:rFonts w:hint="cs"/>
          <w:rtl/>
        </w:rPr>
        <w:t>פ/229/24</w:t>
      </w:r>
      <w:bookmarkEnd w:id="4"/>
    </w:p>
    <w:p w:rsidR="00E13C27" w:rsidP="00E13C27" w:rsidRDefault="00E13C27" w14:paraId="7F6961AC" w14:textId="77777777">
      <w:pPr>
        <w:spacing w:before="0" w:line="360" w:lineRule="auto"/>
        <w:ind w:left="2880" w:firstLine="720"/>
        <w:rPr>
          <w:rFonts w:cs="David"/>
          <w:sz w:val="26"/>
          <w:szCs w:val="26"/>
          <w:rtl/>
        </w:rPr>
      </w:pPr>
    </w:p>
    <w:p w:rsidRPr="00F67051" w:rsidR="00E13C27" w:rsidP="0021633A" w:rsidRDefault="00A443CF" w14:paraId="7F6961AD" w14:textId="77777777">
      <w:pPr>
        <w:pStyle w:val="HeadHatzaotHok"/>
        <w:rPr>
          <w:rtl/>
        </w:rPr>
      </w:pPr>
      <w:bookmarkStart w:name="LGS_Subject" w:id="5"/>
      <w:r>
        <w:rPr>
          <w:rFonts w:hint="cs"/>
          <w:rtl/>
        </w:rPr>
        <w:t>הצעת חוק-יסוד: הכנסת (תיקון – הרחבת העילות למניעת השתתפות בבחירות)</w:t>
      </w:r>
      <w:bookmarkEnd w:id="5"/>
    </w:p>
    <w:p w:rsidR="00E13C27" w:rsidP="0021633A" w:rsidRDefault="00E13C27" w14:paraId="7F6961AE" w14:textId="77777777">
      <w:pPr>
        <w:pStyle w:val="HeadDivreiHesber"/>
        <w:spacing w:before="0" w:after="0"/>
        <w:rPr>
          <w:rtl/>
        </w:rPr>
      </w:pPr>
    </w:p>
    <w:tbl>
      <w:tblPr>
        <w:bidiVisual/>
        <w:tblW w:w="0"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520"/>
      </w:tblGrid>
      <w:tr w:rsidR="00575997" w:rsidTr="00575997" w14:paraId="10560740" w14:textId="77777777">
        <w:trPr>
          <w:cantSplit/>
        </w:trPr>
        <w:tc>
          <w:tcPr>
            <w:tcW w:w="1870" w:type="dxa"/>
            <w:hideMark/>
          </w:tcPr>
          <w:p w:rsidR="00575997" w:rsidRDefault="00575997" w14:paraId="540BD6A1" w14:textId="77777777">
            <w:pPr>
              <w:pStyle w:val="TableSideHeading"/>
              <w:keepLines w:val="0"/>
            </w:pPr>
            <w:r>
              <w:rPr>
                <w:rFonts w:hint="cs"/>
                <w:rtl/>
              </w:rPr>
              <w:t>תיקון חוק-יסוד: הכנסת</w:t>
            </w:r>
          </w:p>
        </w:tc>
        <w:tc>
          <w:tcPr>
            <w:tcW w:w="624" w:type="dxa"/>
            <w:hideMark/>
          </w:tcPr>
          <w:p w:rsidR="00575997" w:rsidRDefault="00575997" w14:paraId="6535D373" w14:textId="77777777">
            <w:pPr>
              <w:pStyle w:val="TableText"/>
              <w:keepLines w:val="0"/>
            </w:pPr>
            <w:r>
              <w:rPr>
                <w:rFonts w:hint="cs"/>
                <w:rtl/>
              </w:rPr>
              <w:t>1.</w:t>
            </w:r>
          </w:p>
        </w:tc>
        <w:tc>
          <w:tcPr>
            <w:tcW w:w="7144" w:type="dxa"/>
            <w:gridSpan w:val="2"/>
            <w:hideMark/>
          </w:tcPr>
          <w:p w:rsidR="00575997" w:rsidRDefault="00575997" w14:paraId="5CFDD15F" w14:textId="77777777">
            <w:pPr>
              <w:pStyle w:val="TableBlock"/>
            </w:pPr>
            <w:r>
              <w:rPr>
                <w:rFonts w:hint="cs"/>
                <w:rtl/>
              </w:rPr>
              <w:t>בחוק-יסוד: הכנסת</w:t>
            </w:r>
            <w:r>
              <w:rPr>
                <w:rStyle w:val="a6"/>
                <w:rtl/>
              </w:rPr>
              <w:footnoteReference w:id="2"/>
            </w:r>
            <w:r>
              <w:rPr>
                <w:rFonts w:hint="cs"/>
                <w:rtl/>
              </w:rPr>
              <w:t xml:space="preserve">, בסעיף 7א </w:t>
            </w:r>
            <w:r>
              <w:rPr>
                <w:rStyle w:val="default"/>
                <w:rFonts w:hint="cs" w:ascii="FrankRuehl" w:hAnsi="FrankRuehl"/>
                <w:sz w:val="26"/>
                <w:rtl/>
              </w:rPr>
              <w:t>–</w:t>
            </w:r>
            <w:r>
              <w:rPr>
                <w:rFonts w:hint="cs"/>
                <w:rtl/>
              </w:rPr>
              <w:t xml:space="preserve"> </w:t>
            </w:r>
          </w:p>
        </w:tc>
      </w:tr>
      <w:tr w:rsidR="00575997" w:rsidTr="00575997" w14:paraId="72D2005C" w14:textId="77777777">
        <w:trPr>
          <w:cantSplit/>
        </w:trPr>
        <w:tc>
          <w:tcPr>
            <w:tcW w:w="1870" w:type="dxa"/>
          </w:tcPr>
          <w:p w:rsidR="00575997" w:rsidRDefault="00575997" w14:paraId="4F60DEA4" w14:textId="77777777">
            <w:pPr>
              <w:pStyle w:val="TableSideHeading"/>
              <w:keepLines w:val="0"/>
            </w:pPr>
          </w:p>
        </w:tc>
        <w:tc>
          <w:tcPr>
            <w:tcW w:w="624" w:type="dxa"/>
          </w:tcPr>
          <w:p w:rsidR="00575997" w:rsidRDefault="00575997" w14:paraId="524A22DA" w14:textId="77777777">
            <w:pPr>
              <w:pStyle w:val="TableText"/>
              <w:keepLines w:val="0"/>
              <w:rPr>
                <w:rtl/>
              </w:rPr>
            </w:pPr>
          </w:p>
        </w:tc>
        <w:tc>
          <w:tcPr>
            <w:tcW w:w="7144" w:type="dxa"/>
            <w:gridSpan w:val="2"/>
            <w:hideMark/>
          </w:tcPr>
          <w:p w:rsidR="00575997" w:rsidRDefault="00575997" w14:paraId="0127E6E8" w14:textId="77777777">
            <w:pPr>
              <w:pStyle w:val="TableBlock"/>
              <w:rPr>
                <w:rtl/>
              </w:rPr>
            </w:pPr>
            <w:r>
              <w:rPr>
                <w:rFonts w:hint="cs"/>
                <w:rtl/>
              </w:rPr>
              <w:t>(1)</w:t>
            </w:r>
            <w:r>
              <w:rPr>
                <w:rFonts w:hint="cs"/>
                <w:rtl/>
              </w:rPr>
              <w:tab/>
              <w:t>בסעיף קטן (א)(3) במקום "או של ארגון טרור" יבוא "של ארגון טרור או של מפגע בודד" ובסופו יבוא "או נגד אזרחים ישראלים".</w:t>
            </w:r>
          </w:p>
        </w:tc>
      </w:tr>
      <w:tr w:rsidR="00575997" w:rsidTr="00575997" w14:paraId="207E108C" w14:textId="77777777">
        <w:trPr>
          <w:cantSplit/>
        </w:trPr>
        <w:tc>
          <w:tcPr>
            <w:tcW w:w="1870" w:type="dxa"/>
          </w:tcPr>
          <w:p w:rsidR="00575997" w:rsidRDefault="00575997" w14:paraId="7D64BE75" w14:textId="77777777">
            <w:pPr>
              <w:pStyle w:val="TableSideHeading"/>
              <w:keepLines w:val="0"/>
              <w:rPr>
                <w:rtl/>
              </w:rPr>
            </w:pPr>
          </w:p>
        </w:tc>
        <w:tc>
          <w:tcPr>
            <w:tcW w:w="624" w:type="dxa"/>
          </w:tcPr>
          <w:p w:rsidR="00575997" w:rsidRDefault="00575997" w14:paraId="1CEB8F9C" w14:textId="77777777">
            <w:pPr>
              <w:pStyle w:val="TableText"/>
              <w:keepLines w:val="0"/>
              <w:rPr>
                <w:rtl/>
              </w:rPr>
            </w:pPr>
          </w:p>
        </w:tc>
        <w:tc>
          <w:tcPr>
            <w:tcW w:w="7144" w:type="dxa"/>
            <w:gridSpan w:val="2"/>
            <w:hideMark/>
          </w:tcPr>
          <w:p w:rsidR="00575997" w:rsidRDefault="00575997" w14:paraId="13F105F4" w14:textId="77777777">
            <w:pPr>
              <w:pStyle w:val="TableBlock"/>
              <w:rPr>
                <w:rtl/>
              </w:rPr>
            </w:pPr>
            <w:r>
              <w:rPr>
                <w:rFonts w:hint="cs"/>
                <w:rtl/>
              </w:rPr>
              <w:t>(2)</w:t>
            </w:r>
            <w:r>
              <w:rPr>
                <w:rFonts w:hint="cs"/>
                <w:rtl/>
              </w:rPr>
              <w:tab/>
              <w:t>אחרי סעיף קטן (א1) יבוא:</w:t>
            </w:r>
          </w:p>
        </w:tc>
      </w:tr>
      <w:tr w:rsidR="00575997" w:rsidTr="00575997" w14:paraId="41A0786E" w14:textId="77777777">
        <w:trPr>
          <w:cantSplit/>
          <w:trHeight w:val="60"/>
        </w:trPr>
        <w:tc>
          <w:tcPr>
            <w:tcW w:w="1870" w:type="dxa"/>
          </w:tcPr>
          <w:p w:rsidR="00575997" w:rsidRDefault="00575997" w14:paraId="1F4D9976" w14:textId="77777777">
            <w:pPr>
              <w:pStyle w:val="TableSideHeading"/>
              <w:rPr>
                <w:rtl/>
              </w:rPr>
            </w:pPr>
          </w:p>
        </w:tc>
        <w:tc>
          <w:tcPr>
            <w:tcW w:w="624" w:type="dxa"/>
          </w:tcPr>
          <w:p w:rsidR="00575997" w:rsidRDefault="00575997" w14:paraId="7F050C18" w14:textId="77777777">
            <w:pPr>
              <w:pStyle w:val="TableText"/>
            </w:pPr>
          </w:p>
        </w:tc>
        <w:tc>
          <w:tcPr>
            <w:tcW w:w="624" w:type="dxa"/>
          </w:tcPr>
          <w:p w:rsidR="00575997" w:rsidRDefault="00575997" w14:paraId="7FADF8D0" w14:textId="77777777">
            <w:pPr>
              <w:pStyle w:val="TableText"/>
            </w:pPr>
          </w:p>
        </w:tc>
        <w:tc>
          <w:tcPr>
            <w:tcW w:w="6520" w:type="dxa"/>
            <w:hideMark/>
          </w:tcPr>
          <w:p w:rsidR="00575997" w:rsidRDefault="00575997" w14:paraId="502F4CC1" w14:textId="77777777">
            <w:pPr>
              <w:pStyle w:val="TableBlock"/>
            </w:pPr>
            <w:r>
              <w:rPr>
                <w:rFonts w:hint="cs"/>
                <w:rtl/>
              </w:rPr>
              <w:t>"(א2)</w:t>
            </w:r>
            <w:r>
              <w:rPr>
                <w:rFonts w:hint="cs"/>
                <w:rtl/>
              </w:rPr>
              <w:tab/>
              <w:t>לעניין סעיף קטן (א)(3), יראו הבעת גילויי אהדה או תמיכה במאבק מזויין, אף אם לא נעשו באופן מתמשך, כתמיכה;</w:t>
            </w:r>
          </w:p>
        </w:tc>
      </w:tr>
      <w:tr w:rsidR="00575997" w:rsidTr="00575997" w14:paraId="46743BE7" w14:textId="77777777">
        <w:trPr>
          <w:cantSplit/>
          <w:trHeight w:val="60"/>
        </w:trPr>
        <w:tc>
          <w:tcPr>
            <w:tcW w:w="1870" w:type="dxa"/>
          </w:tcPr>
          <w:p w:rsidR="00575997" w:rsidRDefault="00575997" w14:paraId="4438F884" w14:textId="77777777">
            <w:pPr>
              <w:pStyle w:val="TableSideHeading"/>
            </w:pPr>
          </w:p>
        </w:tc>
        <w:tc>
          <w:tcPr>
            <w:tcW w:w="624" w:type="dxa"/>
          </w:tcPr>
          <w:p w:rsidR="00575997" w:rsidRDefault="00575997" w14:paraId="58A2B0A6" w14:textId="77777777">
            <w:pPr>
              <w:pStyle w:val="TableText"/>
            </w:pPr>
          </w:p>
        </w:tc>
        <w:tc>
          <w:tcPr>
            <w:tcW w:w="624" w:type="dxa"/>
          </w:tcPr>
          <w:p w:rsidR="00575997" w:rsidRDefault="00575997" w14:paraId="745FC231" w14:textId="77777777">
            <w:pPr>
              <w:pStyle w:val="TableText"/>
            </w:pPr>
          </w:p>
        </w:tc>
        <w:tc>
          <w:tcPr>
            <w:tcW w:w="6520" w:type="dxa"/>
            <w:hideMark/>
          </w:tcPr>
          <w:p w:rsidR="00575997" w:rsidRDefault="00575997" w14:paraId="18A9D59A" w14:textId="77777777">
            <w:pPr>
              <w:pStyle w:val="TableBlock"/>
            </w:pPr>
            <w:r>
              <w:rPr>
                <w:rFonts w:hint="cs"/>
                <w:rtl/>
              </w:rPr>
              <w:t>(א3)</w:t>
            </w:r>
            <w:r>
              <w:rPr>
                <w:rFonts w:hint="cs"/>
                <w:rtl/>
              </w:rPr>
              <w:tab/>
              <w:t>לעניין סעיף זה, יראו מפלגה ברשימת מועמדים משותפת כמשמעותה בסעיף 57(ב) לחוק הבחירות לכנסת [נוסח משולב], התשכ"ט</w:t>
            </w:r>
            <w:r>
              <w:rPr>
                <w:rStyle w:val="default"/>
                <w:rFonts w:hint="cs" w:ascii="FrankRuehl" w:hAnsi="FrankRuehl"/>
                <w:sz w:val="26"/>
                <w:rtl/>
              </w:rPr>
              <w:t>–</w:t>
            </w:r>
            <w:r>
              <w:rPr>
                <w:rFonts w:hint="cs"/>
                <w:rtl/>
              </w:rPr>
              <w:t>1969</w:t>
            </w:r>
            <w:r>
              <w:rPr>
                <w:rStyle w:val="a6"/>
                <w:rtl/>
              </w:rPr>
              <w:footnoteReference w:id="3"/>
            </w:r>
            <w:r>
              <w:rPr>
                <w:rFonts w:hint="cs"/>
                <w:rtl/>
              </w:rPr>
              <w:t xml:space="preserve"> (להלן</w:t>
            </w:r>
            <w:r>
              <w:rPr>
                <w:rStyle w:val="default"/>
                <w:rFonts w:hint="cs" w:ascii="FrankRuehl" w:hAnsi="FrankRuehl"/>
                <w:sz w:val="26"/>
                <w:rtl/>
              </w:rPr>
              <w:t xml:space="preserve"> – חוק הבחירות לכנסת)</w:t>
            </w:r>
            <w:r>
              <w:rPr>
                <w:rFonts w:hint="cs"/>
                <w:rtl/>
              </w:rPr>
              <w:t xml:space="preserve"> כרשימת מועמדים נפרדת."</w:t>
            </w:r>
          </w:p>
        </w:tc>
      </w:tr>
      <w:tr w:rsidR="00575997" w:rsidTr="00575997" w14:paraId="004A5EAF" w14:textId="77777777">
        <w:trPr>
          <w:cantSplit/>
          <w:trHeight w:val="60"/>
        </w:trPr>
        <w:tc>
          <w:tcPr>
            <w:tcW w:w="1870" w:type="dxa"/>
          </w:tcPr>
          <w:p w:rsidR="00575997" w:rsidRDefault="00575997" w14:paraId="742AE747" w14:textId="77777777">
            <w:pPr>
              <w:pStyle w:val="TableText"/>
              <w:ind w:right="0"/>
              <w:jc w:val="both"/>
              <w:rPr>
                <w:rtl/>
              </w:rPr>
            </w:pPr>
          </w:p>
        </w:tc>
        <w:tc>
          <w:tcPr>
            <w:tcW w:w="624" w:type="dxa"/>
            <w:hideMark/>
          </w:tcPr>
          <w:p w:rsidR="00575997" w:rsidRDefault="00575997" w14:paraId="2CF7913F" w14:textId="77777777">
            <w:pPr>
              <w:pStyle w:val="TableText"/>
              <w:ind w:right="0"/>
              <w:jc w:val="both"/>
            </w:pPr>
            <w:r>
              <w:rPr>
                <w:rFonts w:hint="cs"/>
                <w:rtl/>
              </w:rPr>
              <w:t xml:space="preserve"> </w:t>
            </w:r>
          </w:p>
        </w:tc>
        <w:tc>
          <w:tcPr>
            <w:tcW w:w="7144" w:type="dxa"/>
            <w:gridSpan w:val="2"/>
            <w:hideMark/>
          </w:tcPr>
          <w:p w:rsidR="00575997" w:rsidRDefault="00575997" w14:paraId="308BDA81" w14:textId="77777777">
            <w:pPr>
              <w:pStyle w:val="TableBlock"/>
            </w:pPr>
            <w:r>
              <w:rPr>
                <w:rFonts w:hint="cs"/>
                <w:rtl/>
              </w:rPr>
              <w:t>(3)</w:t>
            </w:r>
            <w:r>
              <w:rPr>
                <w:rFonts w:hint="cs"/>
                <w:rtl/>
              </w:rPr>
              <w:tab/>
              <w:t xml:space="preserve">במקום סעיף קטן (ב) יבוא: </w:t>
            </w:r>
          </w:p>
        </w:tc>
      </w:tr>
      <w:tr w:rsidR="00575997" w:rsidTr="00575997" w14:paraId="419A1F2F" w14:textId="77777777">
        <w:trPr>
          <w:cantSplit/>
          <w:trHeight w:val="60"/>
        </w:trPr>
        <w:tc>
          <w:tcPr>
            <w:tcW w:w="1870" w:type="dxa"/>
          </w:tcPr>
          <w:p w:rsidR="00575997" w:rsidRDefault="00575997" w14:paraId="401F0E8E" w14:textId="77777777">
            <w:pPr>
              <w:pStyle w:val="TableSideHeading"/>
            </w:pPr>
          </w:p>
        </w:tc>
        <w:tc>
          <w:tcPr>
            <w:tcW w:w="624" w:type="dxa"/>
          </w:tcPr>
          <w:p w:rsidR="00575997" w:rsidRDefault="00575997" w14:paraId="027E3329" w14:textId="77777777">
            <w:pPr>
              <w:pStyle w:val="TableText"/>
            </w:pPr>
          </w:p>
        </w:tc>
        <w:tc>
          <w:tcPr>
            <w:tcW w:w="624" w:type="dxa"/>
          </w:tcPr>
          <w:p w:rsidR="00575997" w:rsidRDefault="00575997" w14:paraId="3E7D5807" w14:textId="77777777">
            <w:pPr>
              <w:pStyle w:val="TableText"/>
            </w:pPr>
          </w:p>
        </w:tc>
        <w:tc>
          <w:tcPr>
            <w:tcW w:w="6520" w:type="dxa"/>
            <w:hideMark/>
          </w:tcPr>
          <w:p w:rsidR="00575997" w:rsidRDefault="00575997" w14:paraId="69A6DDDC" w14:textId="77777777">
            <w:pPr>
              <w:pStyle w:val="TableBlock"/>
            </w:pPr>
            <w:r>
              <w:rPr>
                <w:rFonts w:hint="cs"/>
                <w:rtl/>
              </w:rPr>
              <w:t>"(ב)</w:t>
            </w:r>
            <w:r>
              <w:rPr>
                <w:rFonts w:hint="cs"/>
                <w:rtl/>
              </w:rPr>
              <w:tab/>
              <w:t>החליטה ועדת הבחירות המרכזית כי רשימת מועמדים או מועמד מנוע מלהשתתף בבחירות, ניתן לערער על החלטתה לבית המשפט העליון".</w:t>
            </w:r>
          </w:p>
        </w:tc>
      </w:tr>
      <w:tr w:rsidR="00575997" w:rsidTr="00575997" w14:paraId="27C95B2A" w14:textId="77777777">
        <w:trPr>
          <w:cantSplit/>
        </w:trPr>
        <w:tc>
          <w:tcPr>
            <w:tcW w:w="1870" w:type="dxa"/>
            <w:hideMark/>
          </w:tcPr>
          <w:p w:rsidR="00575997" w:rsidRDefault="00575997" w14:paraId="50AB14E1" w14:textId="77777777">
            <w:pPr>
              <w:pStyle w:val="TableText"/>
              <w:keepLines w:val="0"/>
            </w:pPr>
            <w:r>
              <w:rPr>
                <w:rFonts w:hint="cs"/>
                <w:rtl/>
              </w:rPr>
              <w:t>תיקון חוק הבחירות לכנסת</w:t>
            </w:r>
          </w:p>
        </w:tc>
        <w:tc>
          <w:tcPr>
            <w:tcW w:w="624" w:type="dxa"/>
            <w:hideMark/>
          </w:tcPr>
          <w:p w:rsidR="00575997" w:rsidRDefault="00575997" w14:paraId="4E4CEE87" w14:textId="77777777">
            <w:pPr>
              <w:pStyle w:val="TableText"/>
              <w:keepLines w:val="0"/>
              <w:rPr>
                <w:rtl/>
              </w:rPr>
            </w:pPr>
            <w:r>
              <w:rPr>
                <w:rFonts w:hint="cs"/>
                <w:rtl/>
              </w:rPr>
              <w:t>2.</w:t>
            </w:r>
          </w:p>
        </w:tc>
        <w:tc>
          <w:tcPr>
            <w:tcW w:w="7144" w:type="dxa"/>
            <w:gridSpan w:val="2"/>
          </w:tcPr>
          <w:p w:rsidR="00575997" w:rsidRDefault="00575997" w14:paraId="7867955E" w14:textId="77777777">
            <w:pPr>
              <w:pStyle w:val="TableText"/>
              <w:keepLines w:val="0"/>
              <w:rPr>
                <w:rStyle w:val="default"/>
                <w:rFonts w:ascii="FrankRuehl" w:hAnsi="FrankRuehl"/>
                <w:sz w:val="26"/>
              </w:rPr>
            </w:pPr>
            <w:r>
              <w:rPr>
                <w:rFonts w:hint="cs"/>
                <w:rtl/>
              </w:rPr>
              <w:t xml:space="preserve">בחוק הבחירות לכנסת, בסעיף 63א </w:t>
            </w:r>
            <w:r>
              <w:rPr>
                <w:rStyle w:val="default"/>
                <w:rFonts w:hint="cs" w:ascii="FrankRuehl" w:hAnsi="FrankRuehl"/>
                <w:sz w:val="26"/>
                <w:rtl/>
              </w:rPr>
              <w:t>–</w:t>
            </w:r>
          </w:p>
          <w:p w:rsidR="00575997" w:rsidRDefault="00575997" w14:paraId="38DA3FAB" w14:textId="77777777">
            <w:pPr>
              <w:pStyle w:val="TableText"/>
              <w:keepLines w:val="0"/>
              <w:rPr>
                <w:rtl/>
              </w:rPr>
            </w:pPr>
          </w:p>
        </w:tc>
      </w:tr>
      <w:tr w:rsidR="00575997" w:rsidTr="00575997" w14:paraId="2ACEDC8D" w14:textId="77777777">
        <w:trPr>
          <w:cantSplit/>
        </w:trPr>
        <w:tc>
          <w:tcPr>
            <w:tcW w:w="1870" w:type="dxa"/>
          </w:tcPr>
          <w:p w:rsidR="00575997" w:rsidRDefault="00575997" w14:paraId="72BB1E24" w14:textId="77777777">
            <w:pPr>
              <w:pStyle w:val="TableText"/>
              <w:keepLines w:val="0"/>
              <w:rPr>
                <w:rtl/>
              </w:rPr>
            </w:pPr>
          </w:p>
        </w:tc>
        <w:tc>
          <w:tcPr>
            <w:tcW w:w="624" w:type="dxa"/>
          </w:tcPr>
          <w:p w:rsidR="00575997" w:rsidRDefault="00575997" w14:paraId="0F803AA6" w14:textId="77777777">
            <w:pPr>
              <w:pStyle w:val="TableText"/>
              <w:keepLines w:val="0"/>
              <w:rPr>
                <w:rtl/>
              </w:rPr>
            </w:pPr>
          </w:p>
        </w:tc>
        <w:tc>
          <w:tcPr>
            <w:tcW w:w="7144" w:type="dxa"/>
            <w:gridSpan w:val="2"/>
            <w:hideMark/>
          </w:tcPr>
          <w:p w:rsidR="00575997" w:rsidRDefault="00575997" w14:paraId="4556B79D" w14:textId="77777777">
            <w:pPr>
              <w:pStyle w:val="TableText"/>
              <w:keepLines w:val="0"/>
              <w:rPr>
                <w:rtl/>
              </w:rPr>
            </w:pPr>
            <w:r>
              <w:rPr>
                <w:rFonts w:hint="cs"/>
                <w:rtl/>
              </w:rPr>
              <w:t>(1)</w:t>
            </w:r>
            <w:r>
              <w:rPr>
                <w:rFonts w:hint="cs"/>
                <w:rtl/>
              </w:rPr>
              <w:tab/>
              <w:t xml:space="preserve">בסעיף קטן (ב) הסיפה החל במילים "ותעביר מיד את החלטתה" </w:t>
            </w:r>
            <w:r>
              <w:rPr>
                <w:rStyle w:val="default"/>
                <w:rFonts w:hint="cs" w:ascii="FrankRuehl" w:hAnsi="FrankRuehl"/>
                <w:sz w:val="26"/>
                <w:rtl/>
              </w:rPr>
              <w:t>–</w:t>
            </w:r>
            <w:r>
              <w:rPr>
                <w:rFonts w:hint="cs"/>
                <w:rtl/>
              </w:rPr>
              <w:t xml:space="preserve"> תימחק.</w:t>
            </w:r>
          </w:p>
        </w:tc>
      </w:tr>
      <w:tr w:rsidR="00575997" w:rsidTr="00575997" w14:paraId="755482F7" w14:textId="77777777">
        <w:trPr>
          <w:cantSplit/>
        </w:trPr>
        <w:tc>
          <w:tcPr>
            <w:tcW w:w="1870" w:type="dxa"/>
          </w:tcPr>
          <w:p w:rsidR="00575997" w:rsidRDefault="00575997" w14:paraId="5CEFD0E2" w14:textId="77777777">
            <w:pPr>
              <w:pStyle w:val="TableText"/>
              <w:keepLines w:val="0"/>
              <w:rPr>
                <w:rtl/>
              </w:rPr>
            </w:pPr>
          </w:p>
        </w:tc>
        <w:tc>
          <w:tcPr>
            <w:tcW w:w="624" w:type="dxa"/>
          </w:tcPr>
          <w:p w:rsidR="00575997" w:rsidRDefault="00575997" w14:paraId="772D48C3" w14:textId="77777777">
            <w:pPr>
              <w:pStyle w:val="TableText"/>
              <w:keepLines w:val="0"/>
              <w:rPr>
                <w:rtl/>
              </w:rPr>
            </w:pPr>
          </w:p>
        </w:tc>
        <w:tc>
          <w:tcPr>
            <w:tcW w:w="7144" w:type="dxa"/>
            <w:gridSpan w:val="2"/>
            <w:hideMark/>
          </w:tcPr>
          <w:p w:rsidR="00575997" w:rsidRDefault="00575997" w14:paraId="1F4D58CD" w14:textId="77777777">
            <w:pPr>
              <w:pStyle w:val="TableText"/>
              <w:keepLines w:val="0"/>
              <w:rPr>
                <w:rtl/>
              </w:rPr>
            </w:pPr>
            <w:r>
              <w:rPr>
                <w:rFonts w:hint="cs"/>
                <w:rtl/>
              </w:rPr>
              <w:t>(2)</w:t>
            </w:r>
            <w:r>
              <w:rPr>
                <w:rFonts w:hint="cs"/>
                <w:rtl/>
              </w:rPr>
              <w:tab/>
              <w:t>סעיף קטן (ג)</w:t>
            </w:r>
            <w:r>
              <w:rPr>
                <w:rStyle w:val="default"/>
                <w:rFonts w:hint="cs" w:ascii="FrankRuehl" w:hAnsi="FrankRuehl"/>
                <w:sz w:val="26"/>
                <w:rtl/>
              </w:rPr>
              <w:t xml:space="preserve"> –</w:t>
            </w:r>
            <w:r>
              <w:rPr>
                <w:rFonts w:hint="cs"/>
                <w:rtl/>
              </w:rPr>
              <w:t xml:space="preserve"> בטל.</w:t>
            </w:r>
          </w:p>
        </w:tc>
      </w:tr>
      <w:tr w:rsidR="00575997" w:rsidTr="00575997" w14:paraId="566CF7D9" w14:textId="77777777">
        <w:trPr>
          <w:cantSplit/>
        </w:trPr>
        <w:tc>
          <w:tcPr>
            <w:tcW w:w="1870" w:type="dxa"/>
          </w:tcPr>
          <w:p w:rsidR="00575997" w:rsidRDefault="00575997" w14:paraId="46313D69" w14:textId="77777777">
            <w:pPr>
              <w:pStyle w:val="TableText"/>
              <w:keepLines w:val="0"/>
              <w:rPr>
                <w:rtl/>
              </w:rPr>
            </w:pPr>
          </w:p>
        </w:tc>
        <w:tc>
          <w:tcPr>
            <w:tcW w:w="624" w:type="dxa"/>
          </w:tcPr>
          <w:p w:rsidR="00575997" w:rsidRDefault="00575997" w14:paraId="6A0DAC66" w14:textId="77777777">
            <w:pPr>
              <w:pStyle w:val="TableText"/>
              <w:keepLines w:val="0"/>
              <w:rPr>
                <w:rtl/>
              </w:rPr>
            </w:pPr>
          </w:p>
        </w:tc>
        <w:tc>
          <w:tcPr>
            <w:tcW w:w="7144" w:type="dxa"/>
            <w:gridSpan w:val="2"/>
            <w:hideMark/>
          </w:tcPr>
          <w:p w:rsidR="00575997" w:rsidRDefault="00575997" w14:paraId="299BBB4B" w14:textId="77777777">
            <w:pPr>
              <w:pStyle w:val="TableText"/>
              <w:ind w:right="0"/>
              <w:jc w:val="both"/>
              <w:rPr>
                <w:rtl/>
              </w:rPr>
            </w:pPr>
            <w:r>
              <w:rPr>
                <w:rFonts w:hint="cs"/>
                <w:rtl/>
              </w:rPr>
              <w:t>(3)</w:t>
            </w:r>
            <w:r>
              <w:rPr>
                <w:rFonts w:hint="cs"/>
                <w:rtl/>
              </w:rPr>
              <w:tab/>
              <w:t>בסעיף קטן (ה) במקום "בהליך של אישור החלטת הועדה המרכזית לפי סעיף קטן (ב) או בערעור על החלטת הועדה המרכזית לפי סעיף קטן (ד)" יבוא "בהליך של ערעור על החלטת הועדה המרכזית לפי סעיפים קטנים (ב) או (ד)".</w:t>
            </w:r>
          </w:p>
        </w:tc>
      </w:tr>
    </w:tbl>
    <w:p w:rsidR="00575997" w:rsidP="00575997" w:rsidRDefault="00575997" w14:paraId="2D6D243D" w14:textId="77777777">
      <w:pPr>
        <w:pStyle w:val="HeadDivreiHesber"/>
        <w:rPr>
          <w:rtl/>
        </w:rPr>
      </w:pPr>
      <w:r>
        <w:rPr>
          <w:rFonts w:hint="cs"/>
          <w:rtl/>
        </w:rPr>
        <w:t>דברי הסבר</w:t>
      </w:r>
    </w:p>
    <w:p w:rsidRPr="00D138BE" w:rsidR="00575997" w:rsidP="00D138BE" w:rsidRDefault="00575997" w14:paraId="4F13FAEC" w14:textId="77777777">
      <w:pPr>
        <w:pStyle w:val="Hesber"/>
        <w:rPr>
          <w:rtl/>
        </w:rPr>
      </w:pPr>
      <w:r w:rsidRPr="00D138BE">
        <w:rPr>
          <w:rFonts w:hint="cs"/>
          <w:rtl/>
        </w:rPr>
        <w:t>שׂכל ישר, מוסר בסיסי, חוק ומשפט, מורים כולם כאחד: מי שמעלה על ראש שמחתו, מחבלים-רוצחים ודומיהם, מקומו לא יכּירנו בכנסת ישראל.</w:t>
      </w:r>
    </w:p>
    <w:p w:rsidRPr="00D138BE" w:rsidR="00575997" w:rsidP="00D138BE" w:rsidRDefault="00575997" w14:paraId="4C8E0381" w14:textId="77777777">
      <w:pPr>
        <w:pStyle w:val="Hesber"/>
        <w:rPr>
          <w:rtl/>
        </w:rPr>
      </w:pPr>
      <w:r w:rsidRPr="00D138BE">
        <w:rPr>
          <w:rFonts w:hint="cs"/>
          <w:rtl/>
        </w:rPr>
        <w:t>דמוקרטיה חפצת חיים חייבת להגן על עצמה מאת מבקשי רעתה. העילה המאפשרת מניעת התמודדות של רשימה או מועמד בשל תמיכה במאבק מזוין של מדינת אויב (סעיף 7א(א)(3)) פורש על ידי בית המשפט העליון באופן צר שאפשר  לאלו המהללים ומשבחים מחבלים ומרגלים שפעלו נגד מדינת ישראל, לשבת בכנסת ישראל על אף תמיכתם. הנוסח הנוכחי אף מותיר פתח מסוכן למפלגה הנמצאת בתוך רשימת מועמדים להתחמק מאפשרות של פסילת המפלגה, גם אם זו מביעה תמיכה מובהקת או משתמעת בטרור, בשל היותה חלק מרשימה הכוללת מספר מפלגות. במצב הקיים כיום, קיימת אפשרות שתומכי טרור ימצאו את כנסת ישראל כעיר מקלט, דבר שכאמור יוביל לפגיעה בשלטון החוק ובאמון הציבור במערכת הפוליטית.</w:t>
      </w:r>
    </w:p>
    <w:p w:rsidRPr="00D138BE" w:rsidR="00575997" w:rsidP="00D138BE" w:rsidRDefault="00575997" w14:paraId="7F29488C" w14:textId="644AA6AC">
      <w:pPr>
        <w:pStyle w:val="Hesber"/>
        <w:rPr>
          <w:rtl/>
        </w:rPr>
      </w:pPr>
      <w:r w:rsidRPr="00D138BE">
        <w:rPr>
          <w:rFonts w:hint="cs"/>
          <w:rtl/>
        </w:rPr>
        <w:t>הצעת החוק מבקשת למנוע מקרים אלו, להבהיר ולחדד את העילה האמורה כך שתהיה אפקטיבית יותר במניעת התמודדות של גורמים התומכים במאבק נגד ישראל. כמו כן, מאפשר פסילה של מועמדי מפלגה הנכללים ברשימת מועמדים משותפת</w:t>
      </w:r>
      <w:r w:rsidRPr="00D138BE" w:rsidR="00D138BE">
        <w:rPr>
          <w:rFonts w:hint="cs"/>
          <w:rtl/>
        </w:rPr>
        <w:t>.</w:t>
      </w:r>
    </w:p>
    <w:p w:rsidRPr="00D138BE" w:rsidR="00575997" w:rsidP="00D138BE" w:rsidRDefault="00575997" w14:paraId="6DD11725" w14:textId="7A090C8A">
      <w:pPr>
        <w:pStyle w:val="Hesber"/>
        <w:rPr>
          <w:rtl/>
        </w:rPr>
      </w:pPr>
      <w:r w:rsidRPr="00D138BE">
        <w:rPr>
          <w:rFonts w:hint="cs"/>
          <w:rtl/>
        </w:rPr>
        <w:t>חוק-יסוד: הכנסת קובע כי אם החליטה ועדת הבחירות המרכזית שמועמד לכנסת מנוע מלהשתתף בבחירות על פי העילות המצוינות בסעיף 7א לחוק-היסוד, ההחלטה טעונה את אישורו של בית המשפט העליון. כלומר, ועדת הבחירות המרכזית אינה יכולה להחליט באופן עצמאי ותוקף החלטותיה  באשר לפסילת מועמדים לבחירות בכנסת ישראל תלוי באישור חיצוני. כוח רב</w:t>
      </w:r>
      <w:r w:rsidRPr="00D138BE" w:rsidR="00D138BE">
        <w:rPr>
          <w:rFonts w:hint="cs"/>
          <w:rtl/>
        </w:rPr>
        <w:t xml:space="preserve"> </w:t>
      </w:r>
      <w:r w:rsidRPr="00D138BE">
        <w:rPr>
          <w:rFonts w:hint="cs"/>
          <w:rtl/>
        </w:rPr>
        <w:t>זה שניתן לבית המשפט העליון מעקר את כוחה של הוועדה והופך את החלטותיה לחסרות משקל וערך ממשי. למעשה, בשנים האחרונות החלטות הפסילה של ועדת הבחירות המרכזית בעניינים אלו בוטלו על ידי בית המשפט העליון. גישה זו של בית המשפט העליון כלפי החלטותיה של הוועדה מנוצלת לרעה על ידי חברי כנסת מכהנים המתירים רסן בהתבטאויות החוצות את גבולות הדמוקרטיה כדי לפגוע במכוון במדינה ובמוסדותיה.</w:t>
      </w:r>
    </w:p>
    <w:p w:rsidRPr="00D138BE" w:rsidR="00575997" w:rsidP="00D138BE" w:rsidRDefault="00575997" w14:paraId="0971E30D" w14:textId="77777777">
      <w:pPr>
        <w:pStyle w:val="Hesber"/>
        <w:rPr>
          <w:rtl/>
        </w:rPr>
      </w:pPr>
      <w:r w:rsidRPr="00D138BE">
        <w:rPr>
          <w:rFonts w:hint="cs"/>
          <w:rtl/>
        </w:rPr>
        <w:t>נשיאת בית המשפט העליון, כבוד השופטת אסתר חיות, כתבה בפסק הדין בעניין כסיף ובן-ארי  את הדברים הבאים: "ההליך של אישור החלטתה של ועדת הבחירות איננו הליך של ביקורת שיפוטית "רגילה" במובן זה שעד הינתן האישור אין ההחלטה משתכללת. בכך הוא נבדל מהליכים ערעוריים על החלטותיה של ועדת הבחירות המתגבשות ומשתכללות עם נתינתן. היקף הסמכות הנתונה לבית המשפט בהליך אישור אינו זהה לזו הנתונה לו בהליך ערעור. בהקשר זה נפסק כי על בית המשפט להימנע מביטול החלטה הנתונה לערעור גם אם הוא עצמו לא היה מקבל החלטה דומה, ככל שזו חוקית ואינה חורגת ממתחם הסבירות. לעומת זאת בהליך אישור נתונה לבית המשפט הסמכות לבחון אם הוא עצמו מאשר את פסילת המועמד מהשתתפות בבחירות"(אב 1806/19 ועדת הבחירות המרכזית לכנסת ה-21 נ' ד"ר עופר כסיף, פסקה 18 לפסק דינה של כב' הנשיאה חיות [פורסם בנבו] (18.07.2019).</w:t>
      </w:r>
    </w:p>
    <w:p w:rsidRPr="00D138BE" w:rsidR="00575997" w:rsidP="00D138BE" w:rsidRDefault="00575997" w14:paraId="71201FE5" w14:textId="5B7F9A47">
      <w:pPr>
        <w:pStyle w:val="Hesber"/>
        <w:rPr>
          <w:rtl/>
        </w:rPr>
      </w:pPr>
      <w:r w:rsidRPr="00D138BE">
        <w:rPr>
          <w:rFonts w:hint="cs"/>
          <w:rtl/>
        </w:rPr>
        <w:t xml:space="preserve">כפי שניתן להבין מדבריה של הנשיאה חיות, כאשר תהליך הפסילה תלוי באישורו של בית המשפט העליון, נוטה בית המשפט להיות מעורב יותר בהליך הפסילה. הצעת החוק נועדה להשיב לוועדת הבחירות </w:t>
      </w:r>
      <w:r w:rsidRPr="00D138BE">
        <w:rPr>
          <w:rFonts w:hint="cs"/>
          <w:rtl/>
        </w:rPr>
        <w:lastRenderedPageBreak/>
        <w:t>המרכזית את כוחה וסמכותה על ידי תיקון חוק-יסוד: הכנסת, וחוק הבחירות לכנסת, התשכ"ט–1969, כך שגם כשמדובר בפסילת מועמדים, ההליך בפני בית המשפט יהיה הליך של ערעור ולא הליך של אישור.</w:t>
      </w:r>
    </w:p>
    <w:p w:rsidRPr="00D138BE" w:rsidR="00C30A6F" w:rsidP="00B41912" w:rsidRDefault="00C30A6F" w14:paraId="74E6F631" w14:textId="20A6C9E3">
      <w:pPr>
        <w:pStyle w:val="Hesber"/>
        <w:rPr>
          <w:rtl/>
        </w:rPr>
      </w:pPr>
      <w:r w:rsidRPr="00D138BE">
        <w:rPr>
          <w:rFonts w:hint="cs"/>
          <w:rtl/>
        </w:rPr>
        <w:t xml:space="preserve">הצעת חוק זהה הונחה על שולחן הכנסת </w:t>
      </w:r>
      <w:r w:rsidR="00B41912">
        <w:rPr>
          <w:rFonts w:hint="cs"/>
          <w:rtl/>
        </w:rPr>
        <w:t>העשרים ושלוש</w:t>
      </w:r>
      <w:r w:rsidRPr="00D138BE">
        <w:rPr>
          <w:rFonts w:hint="cs"/>
          <w:rtl/>
        </w:rPr>
        <w:t xml:space="preserve"> על ידי חבר הכנסת אופיר כץ (</w:t>
      </w:r>
      <w:r w:rsidRPr="00D138BE">
        <w:rPr>
          <w:rtl/>
        </w:rPr>
        <w:t>פ/1096/23</w:t>
      </w:r>
      <w:r w:rsidRPr="00D138BE">
        <w:rPr>
          <w:rFonts w:hint="cs"/>
          <w:rtl/>
        </w:rPr>
        <w:t>).</w:t>
      </w:r>
    </w:p>
    <w:p w:rsidR="00E13C27" w:rsidP="00B41912" w:rsidRDefault="00B41912" w14:paraId="7F6961CB" w14:textId="12D29F60">
      <w:pPr>
        <w:pStyle w:val="Hesber"/>
        <w:rPr>
          <w:rtl/>
        </w:rPr>
      </w:pPr>
      <w:r>
        <w:rPr>
          <w:rFonts w:hint="cs"/>
          <w:rtl/>
        </w:rPr>
        <w:t>הצעת החוק</w:t>
      </w:r>
      <w:r w:rsidRPr="00D138BE" w:rsidR="00D138BE">
        <w:rPr>
          <w:rFonts w:hint="cs"/>
          <w:rtl/>
        </w:rPr>
        <w:t xml:space="preserve"> זהה לפ/1096/23 ולפיכך לא נבדקה מחדש על ידי הלשכה המשפטית של הכנסת. </w:t>
      </w:r>
      <w:bookmarkStart w:name="_GoBack" w:id="6"/>
      <w:bookmarkEnd w:id="6"/>
    </w:p>
    <w:p>
      <w:pPr>
        <w:jc w:val="left"/>
        <w:spacing w:before="0" w:after="0" w:line="276" w:lineRule="auto"/>
      </w:pPr>
      <w:bookmarkStart w:name="selectedDocDateB" w:id="9"/>
      <w:bookmarkEnd w:id="9"/>
      <w:r/>
      <w:p>
        <w:pPr>
          <w:jc w:val="left"/>
          <w:spacing w:before="0" w:after="0" w:line="360" w:lineRule="auto"/>
        </w:pPr>
        <w:r>
          <w:rPr>
            <w:rtl/>
            <w:rFonts w:hint="cs" w:ascii="David" w:hAnsi="David" w:eastAsia="David" w:cs="David"/>
            <w:sz w:val="26"/>
            <w:szCs w:val="26"/>
          </w:rPr>
          <w:t>--------------------------------</w:t>
        </w:r>
      </w:p>
      <w:p>
        <w:pPr>
          <w:jc w:val="left"/>
          <w:spacing w:before="0" w:after="0" w:line="360" w:lineRule="auto"/>
        </w:pPr>
        <w:r>
          <w:rPr>
            <w:rtl/>
            <w:rFonts w:hint="cs" w:ascii="David" w:hAnsi="David" w:eastAsia="David" w:cs="David"/>
            <w:sz w:val="26"/>
            <w:szCs w:val="26"/>
          </w:rPr>
          <w:t>הוגשה ליו"ר הכנסת והסגנים</w:t>
        </w:r>
      </w:p>
      <w:p>
        <w:pPr>
          <w:jc w:val="left"/>
          <w:spacing w:before="0" w:after="0" w:line="360" w:lineRule="auto"/>
        </w:pPr>
        <w:r>
          <w:rPr>
            <w:rtl/>
            <w:rFonts w:hint="cs" w:ascii="David" w:hAnsi="David" w:eastAsia="David" w:cs="David"/>
            <w:sz w:val="26"/>
            <w:szCs w:val="26"/>
          </w:rPr>
          <w:t>והונחה על שולחן הכנסת ביום</w:t>
        </w:r>
      </w:p>
      <w:p>
        <w:pPr>
          <w:jc w:val="left"/>
          <w:spacing w:before="0" w:after="0" w:line="360" w:lineRule="auto"/>
        </w:pPr>
        <w:r>
          <w:rPr>
            <w:rtl/>
            <w:rFonts w:hint="cs" w:ascii="David" w:hAnsi="David" w:eastAsia="David" w:cs="David"/>
            <w:sz w:val="26"/>
            <w:szCs w:val="26"/>
          </w:rPr>
          <w:t xml:space="preserve">כ"א באייר התשפ"א</w:t>
          <w:t xml:space="preserve"> (03.05.2021) </w:t>
        </w:r>
      </w:p>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FrankRuehl">
    <w:altName w:val="Times New Roman"/>
    <w:charset w:val="00"/>
    <w:family w:val="swiss"/>
    <w:pitch w:val="variable"/>
    <w:sig w:usb0="00000000"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3AE26F10"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B41912">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8747A8A" w14:textId="77777777" w:rsidR="00575997" w:rsidRDefault="00575997" w:rsidP="00575997">
      <w:pPr>
        <w:pStyle w:val="a4"/>
        <w:rPr>
          <w:rtl/>
        </w:rPr>
      </w:pPr>
      <w:r>
        <w:rPr>
          <w:rStyle w:val="a6"/>
        </w:rPr>
        <w:footnoteRef/>
      </w:r>
      <w:r>
        <w:rPr>
          <w:rFonts w:hint="cs"/>
          <w:rtl/>
        </w:rPr>
        <w:t xml:space="preserve"> ס"ח התשי"ח, עמ' 69.</w:t>
      </w:r>
    </w:p>
  </w:footnote>
  <w:footnote w:id="3">
    <w:p w14:paraId="278E0522" w14:textId="77777777" w:rsidR="00575997" w:rsidRDefault="00575997" w:rsidP="00575997">
      <w:pPr>
        <w:pStyle w:val="a4"/>
      </w:pPr>
      <w:r>
        <w:rPr>
          <w:rStyle w:val="a6"/>
        </w:rPr>
        <w:footnoteRef/>
      </w:r>
      <w:r>
        <w:rPr>
          <w:rFonts w:hint="cs"/>
          <w:rtl/>
        </w:rPr>
        <w:t xml:space="preserve"> ס"ח התשכ"ט, עמ' 103</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75997"/>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41912"/>
    <w:rsid w:val="00B733A7"/>
    <w:rsid w:val="00B75C91"/>
    <w:rsid w:val="00B975AD"/>
    <w:rsid w:val="00BC45FB"/>
    <w:rsid w:val="00BF148D"/>
    <w:rsid w:val="00C23B1A"/>
    <w:rsid w:val="00C30A6F"/>
    <w:rsid w:val="00C310EB"/>
    <w:rsid w:val="00C9176A"/>
    <w:rsid w:val="00CF1AA2"/>
    <w:rsid w:val="00D138BE"/>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C0E90A1-92F1-4A37-A18C-B996265F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575997"/>
    <w:rPr>
      <w:rFonts w:ascii="Arial" w:eastAsia="Arial Unicode MS" w:hAnsi="Arial" w:cs="David"/>
      <w:snapToGrid w:val="0"/>
      <w:color w:val="000000"/>
      <w:sz w:val="14"/>
      <w:lang w:eastAsia="ja-JP"/>
    </w:rPr>
  </w:style>
  <w:style w:type="character" w:customStyle="1" w:styleId="default">
    <w:name w:val="default"/>
    <w:basedOn w:val="a0"/>
    <w:rsid w:val="00575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51607">
      <w:bodyDiv w:val="1"/>
      <w:marLeft w:val="0"/>
      <w:marRight w:val="0"/>
      <w:marTop w:val="0"/>
      <w:marBottom w:val="0"/>
      <w:divBdr>
        <w:top w:val="none" w:sz="0" w:space="0" w:color="auto"/>
        <w:left w:val="none" w:sz="0" w:space="0" w:color="auto"/>
        <w:bottom w:val="none" w:sz="0" w:space="0" w:color="auto"/>
        <w:right w:val="none" w:sz="0" w:space="0" w:color="auto"/>
      </w:divBdr>
    </w:div>
    <w:div w:id="504982660">
      <w:bodyDiv w:val="1"/>
      <w:marLeft w:val="0"/>
      <w:marRight w:val="0"/>
      <w:marTop w:val="0"/>
      <w:marBottom w:val="0"/>
      <w:divBdr>
        <w:top w:val="none" w:sz="0" w:space="0" w:color="auto"/>
        <w:left w:val="none" w:sz="0" w:space="0" w:color="auto"/>
        <w:bottom w:val="none" w:sz="0" w:space="0" w:color="auto"/>
        <w:right w:val="none" w:sz="0" w:space="0" w:color="auto"/>
      </w:divBdr>
    </w:div>
    <w:div w:id="691537090">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2599a629fc4dbd0c6f3d32642fd76758">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931B072-A250-495D-9C72-E1C87056A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424F45-1252-4A4E-B97F-9D772F46F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619</Words>
  <Characters>3532</Characters>
  <Application>Microsoft Office Word</Application>
  <DocSecurity>0</DocSecurity>
  <Lines>29</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7</cp:revision>
  <cp:lastPrinted>2013-07-04T08:25:00Z</cp:lastPrinted>
  <dcterms:created xsi:type="dcterms:W3CDTF">2015-04-20T09:58:00Z</dcterms:created>
  <dcterms:modified xsi:type="dcterms:W3CDTF">2021-04-21T11:24:00Z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2156159</vt:r8>
  </property>
</Properties>
</file>