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2156423</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יוזמים:      חברי הכנסת</w:t>
      </w:r>
      <w:bookmarkEnd w:id="2"/>
      <w:r w:rsidRPr="00F67051" w:rsidR="00B35784">
        <w:rPr>
          <w:b/>
          <w:bCs/>
        </w:rPr>
        <w:tab/>
      </w:r>
      <w:bookmarkStart w:name="LGS_PM_Names" w:id="3"/>
      <w:r>
        <w:rPr>
          <w:rFonts w:hint="cs"/>
          <w:b/>
          <w:bCs/>
          <w:rtl/>
        </w:rPr>
        <w:t>גדעון סער</w:t>
      </w:r>
      <w:r>
        <w:br/>
      </w:r>
      <w:r>
        <w:rPr>
          <w:rFonts w:hint="cs"/>
          <w:b/>
          <w:bCs/>
          <w:rtl/>
        </w:rPr>
        <w:t xml:space="preserve"> </w:t>
      </w:r>
      <w:r>
        <w:tab/>
      </w:r>
      <w:r>
        <w:tab/>
      </w:r>
      <w:r>
        <w:tab/>
      </w:r>
      <w:r>
        <w:tab/>
      </w:r>
      <w:r>
        <w:rPr>
          <w:rFonts w:hint="cs"/>
          <w:b/>
          <w:bCs/>
          <w:rtl/>
        </w:rPr>
        <w:t>יפעת שאשא ביטון</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פ/57/24</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5E04B0" w:rsidRDefault="00A443CF" w14:paraId="7F6961AD" w14:textId="271578F3">
      <w:pPr>
        <w:pStyle w:val="HeadHatzaotHok"/>
        <w:rPr>
          <w:rtl/>
        </w:rPr>
      </w:pPr>
      <w:bookmarkStart w:name="LGS_Subject" w:id="7"/>
      <w:r>
        <w:rPr>
          <w:rFonts w:hint="cs"/>
          <w:rtl/>
        </w:rPr>
        <w:t>הצעת חוק הביטוח הלאומי (תיקון – דמי אבטלה לעצמאים)</w:t>
      </w:r>
      <w:bookmarkEnd w:id="7"/>
      <w:r w:rsidR="005E04B0">
        <w:rPr>
          <w:rFonts w:hint="cs"/>
          <w:rtl/>
        </w:rPr>
        <w:t>, התשפ"א</w:t>
      </w:r>
      <w:r w:rsidR="005E04B0">
        <w:rPr>
          <w:rFonts w:hint="eastAsia"/>
          <w:rtl/>
        </w:rPr>
        <w:t>–</w:t>
      </w:r>
      <w:r w:rsidR="005E04B0">
        <w:rPr>
          <w:rFonts w:hint="cs"/>
          <w:rtl/>
        </w:rPr>
        <w:t>2021</w:t>
      </w:r>
    </w:p>
    <w:p w:rsidR="00E13C27" w:rsidP="0021633A" w:rsidRDefault="00E13C27" w14:paraId="7F6961AE" w14:textId="77777777">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1248"/>
        <w:gridCol w:w="624"/>
        <w:gridCol w:w="4650"/>
      </w:tblGrid>
      <w:tr w:rsidRPr="003014A6" w:rsidR="001B2C7E" w:rsidTr="00221F5F" w14:paraId="5DC42071" w14:textId="77777777">
        <w:trPr>
          <w:cantSplit/>
          <w:trHeight w:val="60"/>
        </w:trPr>
        <w:tc>
          <w:tcPr>
            <w:tcW w:w="1871" w:type="dxa"/>
          </w:tcPr>
          <w:p w:rsidR="001B2C7E" w:rsidP="00221F5F" w:rsidRDefault="001B2C7E" w14:paraId="5B027AB4" w14:textId="77777777">
            <w:pPr>
              <w:pStyle w:val="TableSideHeading"/>
              <w:keepLines w:val="0"/>
            </w:pPr>
            <w:r>
              <w:rPr>
                <w:rFonts w:hint="cs"/>
                <w:rtl/>
              </w:rPr>
              <w:t>הוספת סעיף 28ג</w:t>
            </w:r>
          </w:p>
        </w:tc>
        <w:tc>
          <w:tcPr>
            <w:tcW w:w="624" w:type="dxa"/>
          </w:tcPr>
          <w:p w:rsidR="001B2C7E" w:rsidP="00221F5F" w:rsidRDefault="001B2C7E" w14:paraId="092A38F1" w14:textId="77777777">
            <w:pPr>
              <w:pStyle w:val="TableText"/>
              <w:keepLines w:val="0"/>
            </w:pPr>
            <w:r>
              <w:rPr>
                <w:rFonts w:hint="cs"/>
                <w:rtl/>
              </w:rPr>
              <w:t>1.</w:t>
            </w:r>
          </w:p>
        </w:tc>
        <w:tc>
          <w:tcPr>
            <w:tcW w:w="7146" w:type="dxa"/>
            <w:gridSpan w:val="4"/>
          </w:tcPr>
          <w:p w:rsidRPr="003014A6" w:rsidR="001B2C7E" w:rsidP="00221F5F" w:rsidRDefault="001B2C7E" w14:paraId="33D71818" w14:textId="77777777">
            <w:pPr>
              <w:pStyle w:val="TableBlock"/>
            </w:pPr>
            <w:r w:rsidRPr="003014A6">
              <w:rPr>
                <w:rtl/>
              </w:rPr>
              <w:t>בחוק הביטוח הלאומי [נוסח משולב], התשנ"ה</w:t>
            </w:r>
            <w:r w:rsidRPr="003014A6">
              <w:rPr>
                <w:rFonts w:hint="cs"/>
                <w:rtl/>
              </w:rPr>
              <w:t>–</w:t>
            </w:r>
            <w:r w:rsidRPr="003014A6">
              <w:rPr>
                <w:rtl/>
              </w:rPr>
              <w:t>1995</w:t>
            </w:r>
            <w:r w:rsidRPr="003014A6">
              <w:rPr>
                <w:sz w:val="14"/>
                <w:szCs w:val="20"/>
                <w:rtl/>
              </w:rPr>
              <w:footnoteReference w:id="2"/>
            </w:r>
            <w:r w:rsidRPr="003014A6">
              <w:rPr>
                <w:rtl/>
              </w:rPr>
              <w:t xml:space="preserve"> (להלן </w:t>
            </w:r>
            <w:r w:rsidRPr="003014A6">
              <w:rPr>
                <w:rFonts w:hint="cs"/>
                <w:rtl/>
              </w:rPr>
              <w:t>–</w:t>
            </w:r>
            <w:r w:rsidRPr="003014A6">
              <w:rPr>
                <w:rtl/>
              </w:rPr>
              <w:t xml:space="preserve"> </w:t>
            </w:r>
            <w:r w:rsidRPr="003014A6">
              <w:rPr>
                <w:rFonts w:hint="cs"/>
                <w:rtl/>
              </w:rPr>
              <w:t>החוק העיקרי</w:t>
            </w:r>
            <w:r w:rsidRPr="003014A6">
              <w:rPr>
                <w:rtl/>
              </w:rPr>
              <w:t>), אחרי סעיף 28ב יבוא:</w:t>
            </w:r>
          </w:p>
        </w:tc>
      </w:tr>
      <w:tr w:rsidR="001B2C7E" w:rsidTr="00221F5F" w14:paraId="5EE90B5B" w14:textId="77777777">
        <w:trPr>
          <w:cantSplit/>
        </w:trPr>
        <w:tc>
          <w:tcPr>
            <w:tcW w:w="1871" w:type="dxa"/>
          </w:tcPr>
          <w:p w:rsidR="001B2C7E" w:rsidP="00221F5F" w:rsidRDefault="001B2C7E" w14:paraId="481D7314" w14:textId="77777777">
            <w:pPr>
              <w:pStyle w:val="TableSideHeading"/>
            </w:pPr>
          </w:p>
        </w:tc>
        <w:tc>
          <w:tcPr>
            <w:tcW w:w="624" w:type="dxa"/>
          </w:tcPr>
          <w:p w:rsidR="001B2C7E" w:rsidP="00221F5F" w:rsidRDefault="001B2C7E" w14:paraId="2CD4B2EA" w14:textId="77777777">
            <w:pPr>
              <w:pStyle w:val="TableText"/>
            </w:pPr>
          </w:p>
        </w:tc>
        <w:tc>
          <w:tcPr>
            <w:tcW w:w="1872" w:type="dxa"/>
            <w:gridSpan w:val="2"/>
          </w:tcPr>
          <w:p w:rsidR="001B2C7E" w:rsidP="00221F5F" w:rsidRDefault="001B2C7E" w14:paraId="76E07D04" w14:textId="77777777">
            <w:pPr>
              <w:pStyle w:val="TableInnerSideHeading"/>
            </w:pPr>
            <w:r>
              <w:rPr>
                <w:rtl/>
              </w:rPr>
              <w:t>"ענף ביטוח אבטלה לע</w:t>
            </w:r>
            <w:r>
              <w:rPr>
                <w:rFonts w:hint="cs"/>
                <w:rtl/>
              </w:rPr>
              <w:t>ובד ע</w:t>
            </w:r>
            <w:r>
              <w:rPr>
                <w:rtl/>
              </w:rPr>
              <w:t>צמאי</w:t>
            </w:r>
          </w:p>
        </w:tc>
        <w:tc>
          <w:tcPr>
            <w:tcW w:w="624" w:type="dxa"/>
          </w:tcPr>
          <w:p w:rsidR="001B2C7E" w:rsidP="00221F5F" w:rsidRDefault="001B2C7E" w14:paraId="1D2903A2" w14:textId="77777777">
            <w:pPr>
              <w:pStyle w:val="TableText"/>
            </w:pPr>
            <w:r>
              <w:rPr>
                <w:rFonts w:hint="cs"/>
                <w:rtl/>
              </w:rPr>
              <w:t>28ג.</w:t>
            </w:r>
          </w:p>
        </w:tc>
        <w:tc>
          <w:tcPr>
            <w:tcW w:w="4650" w:type="dxa"/>
          </w:tcPr>
          <w:p w:rsidR="001B2C7E" w:rsidP="00221F5F" w:rsidRDefault="001B2C7E" w14:paraId="497D1706" w14:textId="77777777">
            <w:pPr>
              <w:pStyle w:val="TableBlock"/>
            </w:pPr>
            <w:r>
              <w:rPr>
                <w:rtl/>
              </w:rPr>
              <w:t>ביטוח אבטלה ל</w:t>
            </w:r>
            <w:r>
              <w:rPr>
                <w:rFonts w:hint="cs"/>
                <w:rtl/>
              </w:rPr>
              <w:t>עובד ע</w:t>
            </w:r>
            <w:r>
              <w:rPr>
                <w:rtl/>
              </w:rPr>
              <w:t>צמאי</w:t>
            </w:r>
            <w:r>
              <w:rPr>
                <w:rFonts w:hint="cs"/>
                <w:rtl/>
              </w:rPr>
              <w:t>,</w:t>
            </w:r>
            <w:r>
              <w:rPr>
                <w:rtl/>
              </w:rPr>
              <w:t xml:space="preserve"> </w:t>
            </w:r>
            <w:r>
              <w:rPr>
                <w:rFonts w:hint="cs"/>
                <w:rtl/>
              </w:rPr>
              <w:t xml:space="preserve">כהגדרתו בסעיף 158, </w:t>
            </w:r>
            <w:r>
              <w:rPr>
                <w:rtl/>
              </w:rPr>
              <w:t>ינוהל כענף ביטוח נפרד."</w:t>
            </w:r>
          </w:p>
        </w:tc>
      </w:tr>
      <w:tr w:rsidR="001B2C7E" w:rsidTr="00221F5F" w14:paraId="58528CA9" w14:textId="77777777">
        <w:trPr>
          <w:cantSplit/>
        </w:trPr>
        <w:tc>
          <w:tcPr>
            <w:tcW w:w="1871" w:type="dxa"/>
          </w:tcPr>
          <w:p w:rsidR="001B2C7E" w:rsidP="00221F5F" w:rsidRDefault="001B2C7E" w14:paraId="2D659B85" w14:textId="77777777">
            <w:pPr>
              <w:pStyle w:val="TableSideHeading"/>
            </w:pPr>
            <w:r>
              <w:rPr>
                <w:rFonts w:hint="cs"/>
                <w:rtl/>
              </w:rPr>
              <w:t>תיקון סעיף 158</w:t>
            </w:r>
          </w:p>
        </w:tc>
        <w:tc>
          <w:tcPr>
            <w:tcW w:w="624" w:type="dxa"/>
          </w:tcPr>
          <w:p w:rsidR="001B2C7E" w:rsidP="00221F5F" w:rsidRDefault="001B2C7E" w14:paraId="2E0C01A7" w14:textId="77777777">
            <w:pPr>
              <w:pStyle w:val="TableText"/>
            </w:pPr>
            <w:r>
              <w:rPr>
                <w:rFonts w:hint="cs"/>
                <w:rtl/>
              </w:rPr>
              <w:t>2.</w:t>
            </w:r>
          </w:p>
        </w:tc>
        <w:tc>
          <w:tcPr>
            <w:tcW w:w="7146" w:type="dxa"/>
            <w:gridSpan w:val="4"/>
          </w:tcPr>
          <w:p w:rsidR="001B2C7E" w:rsidP="00221F5F" w:rsidRDefault="001B2C7E" w14:paraId="1DA83052" w14:textId="77777777">
            <w:pPr>
              <w:pStyle w:val="TableBlock"/>
            </w:pPr>
            <w:r>
              <w:rPr>
                <w:rFonts w:hint="cs"/>
                <w:rtl/>
              </w:rPr>
              <w:t>בסעיף 158 לחוק העיקרי –</w:t>
            </w:r>
          </w:p>
        </w:tc>
      </w:tr>
      <w:tr w:rsidR="001B2C7E" w:rsidTr="00221F5F" w14:paraId="69565ED2" w14:textId="77777777">
        <w:trPr>
          <w:cantSplit/>
        </w:trPr>
        <w:tc>
          <w:tcPr>
            <w:tcW w:w="1871" w:type="dxa"/>
          </w:tcPr>
          <w:p w:rsidR="001B2C7E" w:rsidP="00221F5F" w:rsidRDefault="001B2C7E" w14:paraId="71EB052F" w14:textId="77777777">
            <w:pPr>
              <w:pStyle w:val="TableSideHeading"/>
            </w:pPr>
          </w:p>
        </w:tc>
        <w:tc>
          <w:tcPr>
            <w:tcW w:w="624" w:type="dxa"/>
          </w:tcPr>
          <w:p w:rsidR="001B2C7E" w:rsidP="00221F5F" w:rsidRDefault="001B2C7E" w14:paraId="6032DB73" w14:textId="77777777">
            <w:pPr>
              <w:pStyle w:val="TableText"/>
            </w:pPr>
          </w:p>
        </w:tc>
        <w:tc>
          <w:tcPr>
            <w:tcW w:w="7146" w:type="dxa"/>
            <w:gridSpan w:val="4"/>
          </w:tcPr>
          <w:p w:rsidR="001B2C7E" w:rsidP="00221F5F" w:rsidRDefault="001B2C7E" w14:paraId="1A19C2E4" w14:textId="77777777">
            <w:pPr>
              <w:pStyle w:val="TableBlock"/>
            </w:pPr>
            <w:r>
              <w:rPr>
                <w:rFonts w:hint="cs"/>
                <w:rtl/>
              </w:rPr>
              <w:t>(1)</w:t>
            </w:r>
            <w:r>
              <w:rPr>
                <w:rtl/>
              </w:rPr>
              <w:tab/>
              <w:t>בהגדרה "מבוטח", בפסקה (1)</w:t>
            </w:r>
            <w:r>
              <w:rPr>
                <w:rFonts w:hint="cs"/>
                <w:rtl/>
              </w:rPr>
              <w:t xml:space="preserve">, בסופה </w:t>
            </w:r>
            <w:r>
              <w:rPr>
                <w:rtl/>
              </w:rPr>
              <w:t>יבוא "או עצמאי החייב בתשלום דמי ביטוח בעד עצמו"</w:t>
            </w:r>
            <w:r>
              <w:rPr>
                <w:rFonts w:hint="cs"/>
                <w:rtl/>
              </w:rPr>
              <w:t>;</w:t>
            </w:r>
          </w:p>
        </w:tc>
      </w:tr>
      <w:tr w:rsidR="001B2C7E" w:rsidTr="00221F5F" w14:paraId="1EC2F97C" w14:textId="77777777">
        <w:trPr>
          <w:cantSplit/>
        </w:trPr>
        <w:tc>
          <w:tcPr>
            <w:tcW w:w="1871" w:type="dxa"/>
          </w:tcPr>
          <w:p w:rsidR="001B2C7E" w:rsidP="00221F5F" w:rsidRDefault="001B2C7E" w14:paraId="31808EC2" w14:textId="77777777">
            <w:pPr>
              <w:pStyle w:val="TableSideHeading"/>
            </w:pPr>
          </w:p>
        </w:tc>
        <w:tc>
          <w:tcPr>
            <w:tcW w:w="624" w:type="dxa"/>
          </w:tcPr>
          <w:p w:rsidR="001B2C7E" w:rsidP="00221F5F" w:rsidRDefault="001B2C7E" w14:paraId="2BF1749B" w14:textId="77777777">
            <w:pPr>
              <w:pStyle w:val="TableText"/>
            </w:pPr>
          </w:p>
        </w:tc>
        <w:tc>
          <w:tcPr>
            <w:tcW w:w="7146" w:type="dxa"/>
            <w:gridSpan w:val="4"/>
          </w:tcPr>
          <w:p w:rsidR="001B2C7E" w:rsidP="00221F5F" w:rsidRDefault="001B2C7E" w14:paraId="691326C3" w14:textId="77777777">
            <w:pPr>
              <w:pStyle w:val="TableBlock"/>
            </w:pPr>
            <w:r>
              <w:rPr>
                <w:rFonts w:hint="cs"/>
                <w:rtl/>
              </w:rPr>
              <w:t>(2)</w:t>
            </w:r>
            <w:r>
              <w:rPr>
                <w:rtl/>
              </w:rPr>
              <w:tab/>
              <w:t>אחרי ההגדרה "עובד" יבוא</w:t>
            </w:r>
            <w:r>
              <w:rPr>
                <w:rFonts w:hint="cs"/>
                <w:rtl/>
              </w:rPr>
              <w:t>:</w:t>
            </w:r>
          </w:p>
        </w:tc>
      </w:tr>
      <w:tr w:rsidRPr="00DA72B5" w:rsidR="001B2C7E" w:rsidTr="00221F5F" w14:paraId="75451FFD" w14:textId="77777777">
        <w:trPr>
          <w:cantSplit/>
        </w:trPr>
        <w:tc>
          <w:tcPr>
            <w:tcW w:w="1871" w:type="dxa"/>
          </w:tcPr>
          <w:p w:rsidR="001B2C7E" w:rsidP="00221F5F" w:rsidRDefault="001B2C7E" w14:paraId="38E9BA14" w14:textId="77777777">
            <w:pPr>
              <w:pStyle w:val="TableSideHeading"/>
            </w:pPr>
          </w:p>
        </w:tc>
        <w:tc>
          <w:tcPr>
            <w:tcW w:w="624" w:type="dxa"/>
          </w:tcPr>
          <w:p w:rsidR="001B2C7E" w:rsidP="00221F5F" w:rsidRDefault="001B2C7E" w14:paraId="7994554C" w14:textId="77777777">
            <w:pPr>
              <w:pStyle w:val="TableText"/>
            </w:pPr>
          </w:p>
        </w:tc>
        <w:tc>
          <w:tcPr>
            <w:tcW w:w="624" w:type="dxa"/>
          </w:tcPr>
          <w:p w:rsidR="001B2C7E" w:rsidP="00221F5F" w:rsidRDefault="001B2C7E" w14:paraId="4A99421D" w14:textId="77777777">
            <w:pPr>
              <w:pStyle w:val="TableText"/>
            </w:pPr>
          </w:p>
        </w:tc>
        <w:tc>
          <w:tcPr>
            <w:tcW w:w="6522" w:type="dxa"/>
            <w:gridSpan w:val="3"/>
          </w:tcPr>
          <w:p w:rsidRPr="00DA72B5" w:rsidR="001B2C7E" w:rsidP="00221F5F" w:rsidRDefault="001B2C7E" w14:paraId="748A35F6" w14:textId="77777777">
            <w:pPr>
              <w:pStyle w:val="TableBlockOutdent"/>
              <w:rPr>
                <w:rFonts w:ascii="Hadasa Roso SL" w:hAnsi="Hadasa Roso SL" w:eastAsia="MS Mincho" w:cs="Hadasa Roso SL"/>
                <w:snapToGrid/>
                <w:spacing w:val="1"/>
                <w:sz w:val="17"/>
                <w:szCs w:val="17"/>
              </w:rPr>
            </w:pPr>
            <w:r w:rsidRPr="00F92D82">
              <w:rPr>
                <w:rtl/>
              </w:rPr>
              <w:t>"</w:t>
            </w:r>
            <w:r w:rsidRPr="00F92D82">
              <w:rPr>
                <w:rFonts w:hint="cs"/>
                <w:rtl/>
              </w:rPr>
              <w:t>"</w:t>
            </w:r>
            <w:r>
              <w:rPr>
                <w:rFonts w:hint="cs"/>
                <w:rtl/>
              </w:rPr>
              <w:t xml:space="preserve">עובד </w:t>
            </w:r>
            <w:r w:rsidRPr="00F92D82">
              <w:rPr>
                <w:rtl/>
              </w:rPr>
              <w:t>עצמאי</w:t>
            </w:r>
            <w:r w:rsidRPr="00F92D82">
              <w:rPr>
                <w:rFonts w:hint="cs"/>
                <w:rtl/>
              </w:rPr>
              <w:t xml:space="preserve">" – </w:t>
            </w:r>
            <w:r w:rsidRPr="00A06C35">
              <w:rPr>
                <w:rtl/>
              </w:rPr>
              <w:t xml:space="preserve">מי שיש לו הכנסה </w:t>
            </w:r>
            <w:r>
              <w:rPr>
                <w:rFonts w:hint="cs"/>
                <w:rtl/>
              </w:rPr>
              <w:t>לפי סעיף 2(1) או (8) לפקודת מס הכנסה</w:t>
            </w:r>
            <w:r>
              <w:rPr>
                <w:rStyle w:val="a6"/>
                <w:rtl/>
              </w:rPr>
              <w:footnoteReference w:id="3"/>
            </w:r>
            <w:r>
              <w:rPr>
                <w:rFonts w:hint="cs"/>
                <w:rtl/>
              </w:rPr>
              <w:t>;".</w:t>
            </w:r>
          </w:p>
        </w:tc>
      </w:tr>
      <w:tr w:rsidR="001B2C7E" w:rsidTr="00221F5F" w14:paraId="6B20E812" w14:textId="77777777">
        <w:trPr>
          <w:cantSplit/>
        </w:trPr>
        <w:tc>
          <w:tcPr>
            <w:tcW w:w="1871" w:type="dxa"/>
          </w:tcPr>
          <w:p w:rsidR="001B2C7E" w:rsidP="00221F5F" w:rsidRDefault="001B2C7E" w14:paraId="77E93667" w14:textId="77777777">
            <w:pPr>
              <w:pStyle w:val="TableSideHeading"/>
            </w:pPr>
            <w:r>
              <w:rPr>
                <w:rFonts w:hint="cs"/>
                <w:rtl/>
              </w:rPr>
              <w:t>תיקון סעיף 160</w:t>
            </w:r>
          </w:p>
        </w:tc>
        <w:tc>
          <w:tcPr>
            <w:tcW w:w="624" w:type="dxa"/>
          </w:tcPr>
          <w:p w:rsidR="001B2C7E" w:rsidP="00221F5F" w:rsidRDefault="001B2C7E" w14:paraId="48D8F33F" w14:textId="77777777">
            <w:pPr>
              <w:pStyle w:val="TableText"/>
            </w:pPr>
            <w:r>
              <w:rPr>
                <w:rFonts w:hint="cs"/>
                <w:rtl/>
              </w:rPr>
              <w:t>3.</w:t>
            </w:r>
          </w:p>
        </w:tc>
        <w:tc>
          <w:tcPr>
            <w:tcW w:w="7146" w:type="dxa"/>
            <w:gridSpan w:val="4"/>
          </w:tcPr>
          <w:p w:rsidR="001B2C7E" w:rsidP="00221F5F" w:rsidRDefault="001B2C7E" w14:paraId="45F88C08" w14:textId="77777777">
            <w:pPr>
              <w:pStyle w:val="TableBlock"/>
            </w:pPr>
            <w:r>
              <w:rPr>
                <w:rFonts w:hint="cs"/>
                <w:rtl/>
              </w:rPr>
              <w:t>בסעיף 160 לחוק העיקרי, אחרי סעיף קטן (א) יבוא:</w:t>
            </w:r>
          </w:p>
        </w:tc>
      </w:tr>
      <w:tr w:rsidR="001B2C7E" w:rsidTr="00221F5F" w14:paraId="65D60333" w14:textId="77777777">
        <w:trPr>
          <w:cantSplit/>
        </w:trPr>
        <w:tc>
          <w:tcPr>
            <w:tcW w:w="1871" w:type="dxa"/>
          </w:tcPr>
          <w:p w:rsidR="001B2C7E" w:rsidP="00221F5F" w:rsidRDefault="001B2C7E" w14:paraId="6873DA38" w14:textId="77777777">
            <w:pPr>
              <w:pStyle w:val="TableSideHeading"/>
            </w:pPr>
          </w:p>
        </w:tc>
        <w:tc>
          <w:tcPr>
            <w:tcW w:w="624" w:type="dxa"/>
          </w:tcPr>
          <w:p w:rsidR="001B2C7E" w:rsidP="00221F5F" w:rsidRDefault="001B2C7E" w14:paraId="3F8794E6" w14:textId="77777777">
            <w:pPr>
              <w:pStyle w:val="TableText"/>
            </w:pPr>
          </w:p>
        </w:tc>
        <w:tc>
          <w:tcPr>
            <w:tcW w:w="7146" w:type="dxa"/>
            <w:gridSpan w:val="4"/>
          </w:tcPr>
          <w:p w:rsidR="001B2C7E" w:rsidP="00221F5F" w:rsidRDefault="001B2C7E" w14:paraId="4F680D60" w14:textId="77777777">
            <w:pPr>
              <w:pStyle w:val="TableBlock"/>
            </w:pPr>
            <w:r>
              <w:rPr>
                <w:rFonts w:hint="cs"/>
                <w:rtl/>
              </w:rPr>
              <w:t>"(א1)</w:t>
            </w:r>
            <w:r>
              <w:rPr>
                <w:rFonts w:hint="cs"/>
                <w:rtl/>
              </w:rPr>
              <w:tab/>
              <w:t>יראו</w:t>
            </w:r>
            <w:r>
              <w:rPr>
                <w:rtl/>
              </w:rPr>
              <w:t xml:space="preserve"> עצמאי</w:t>
            </w:r>
            <w:r>
              <w:rPr>
                <w:rFonts w:hint="cs"/>
                <w:rtl/>
              </w:rPr>
              <w:t xml:space="preserve"> כ</w:t>
            </w:r>
            <w:r>
              <w:rPr>
                <w:rtl/>
              </w:rPr>
              <w:t>מובטל</w:t>
            </w:r>
            <w:r>
              <w:rPr>
                <w:rFonts w:hint="cs"/>
                <w:rtl/>
              </w:rPr>
              <w:t xml:space="preserve"> לפי סעיף קטן (א) אם </w:t>
            </w:r>
            <w:r>
              <w:rPr>
                <w:rtl/>
              </w:rPr>
              <w:t>מסר תצהיר מאושר על ידי עורך דין או אישור רואה חשבון</w:t>
            </w:r>
            <w:r>
              <w:rPr>
                <w:rFonts w:hint="cs"/>
                <w:rtl/>
              </w:rPr>
              <w:t xml:space="preserve"> </w:t>
            </w:r>
            <w:r w:rsidRPr="00787C52">
              <w:rPr>
                <w:rFonts w:hint="eastAsia"/>
                <w:rtl/>
              </w:rPr>
              <w:t>המגובה</w:t>
            </w:r>
            <w:r w:rsidRPr="00787C52">
              <w:rPr>
                <w:rtl/>
              </w:rPr>
              <w:t xml:space="preserve"> </w:t>
            </w:r>
            <w:r w:rsidRPr="00787C52">
              <w:rPr>
                <w:rFonts w:hint="eastAsia"/>
                <w:rtl/>
              </w:rPr>
              <w:t>באישור</w:t>
            </w:r>
            <w:r w:rsidRPr="00787C52">
              <w:rPr>
                <w:rtl/>
              </w:rPr>
              <w:t xml:space="preserve"> </w:t>
            </w:r>
            <w:r w:rsidRPr="00787C52">
              <w:rPr>
                <w:rFonts w:hint="eastAsia"/>
                <w:rtl/>
              </w:rPr>
              <w:t>רשות</w:t>
            </w:r>
            <w:r w:rsidRPr="00787C52">
              <w:rPr>
                <w:rtl/>
              </w:rPr>
              <w:t xml:space="preserve"> </w:t>
            </w:r>
            <w:r w:rsidRPr="00787C52">
              <w:rPr>
                <w:rFonts w:hint="eastAsia"/>
                <w:rtl/>
              </w:rPr>
              <w:t>המסים</w:t>
            </w:r>
            <w:r w:rsidRPr="00787C52">
              <w:rPr>
                <w:rtl/>
              </w:rPr>
              <w:t xml:space="preserve"> </w:t>
            </w:r>
            <w:r w:rsidRPr="00787C52">
              <w:rPr>
                <w:rFonts w:hint="eastAsia"/>
                <w:rtl/>
              </w:rPr>
              <w:t>המעיד</w:t>
            </w:r>
            <w:r w:rsidRPr="00787C52">
              <w:rPr>
                <w:rtl/>
              </w:rPr>
              <w:t xml:space="preserve"> </w:t>
            </w:r>
            <w:r w:rsidRPr="00787C52">
              <w:rPr>
                <w:rFonts w:hint="eastAsia"/>
                <w:rtl/>
              </w:rPr>
              <w:t>על</w:t>
            </w:r>
            <w:r w:rsidRPr="00787C52">
              <w:rPr>
                <w:rtl/>
              </w:rPr>
              <w:t xml:space="preserve"> </w:t>
            </w:r>
            <w:r>
              <w:rPr>
                <w:rFonts w:hint="cs"/>
                <w:rtl/>
              </w:rPr>
              <w:t>ביטול הרישום</w:t>
            </w:r>
            <w:r w:rsidRPr="00787C52">
              <w:rPr>
                <w:rtl/>
              </w:rPr>
              <w:t xml:space="preserve"> </w:t>
            </w:r>
            <w:r>
              <w:rPr>
                <w:rFonts w:hint="cs"/>
                <w:rtl/>
              </w:rPr>
              <w:t>כ</w:t>
            </w:r>
            <w:r w:rsidRPr="00787C52">
              <w:rPr>
                <w:rFonts w:hint="eastAsia"/>
                <w:rtl/>
              </w:rPr>
              <w:t>עוסק</w:t>
            </w:r>
            <w:r w:rsidRPr="00787C52">
              <w:rPr>
                <w:rtl/>
              </w:rPr>
              <w:t xml:space="preserve"> </w:t>
            </w:r>
            <w:r w:rsidRPr="00787C52">
              <w:rPr>
                <w:rFonts w:hint="eastAsia"/>
                <w:rtl/>
              </w:rPr>
              <w:t>המורשה</w:t>
            </w:r>
            <w:r>
              <w:rPr>
                <w:rFonts w:hint="cs"/>
                <w:rtl/>
              </w:rPr>
              <w:t xml:space="preserve">, או כי </w:t>
            </w:r>
            <w:r>
              <w:rPr>
                <w:rtl/>
              </w:rPr>
              <w:t xml:space="preserve">חדל לחלוטין לעסוק בעסקו או במשלח ידו או שהחברה </w:t>
            </w:r>
            <w:r>
              <w:rPr>
                <w:rFonts w:hint="cs"/>
                <w:rtl/>
              </w:rPr>
              <w:t xml:space="preserve">שהוא בעל שליטה בה </w:t>
            </w:r>
            <w:r>
              <w:rPr>
                <w:rtl/>
              </w:rPr>
              <w:t>חדלה לחלוטין מפעילותה</w:t>
            </w:r>
            <w:r>
              <w:rPr>
                <w:rFonts w:hint="cs"/>
                <w:rtl/>
              </w:rPr>
              <w:t xml:space="preserve">, לפי העניין, </w:t>
            </w:r>
            <w:r>
              <w:rPr>
                <w:rtl/>
              </w:rPr>
              <w:t xml:space="preserve">או </w:t>
            </w:r>
            <w:r>
              <w:rPr>
                <w:rFonts w:hint="cs"/>
                <w:rtl/>
              </w:rPr>
              <w:t xml:space="preserve">שהתקימו בו </w:t>
            </w:r>
            <w:r>
              <w:rPr>
                <w:rtl/>
              </w:rPr>
              <w:t>תנאים  שקבע השר</w:t>
            </w:r>
            <w:r>
              <w:rPr>
                <w:rFonts w:hint="cs"/>
                <w:rtl/>
              </w:rPr>
              <w:t xml:space="preserve"> </w:t>
            </w:r>
            <w:r w:rsidRPr="00781933">
              <w:rPr>
                <w:rFonts w:hint="cs"/>
                <w:rtl/>
              </w:rPr>
              <w:t>לפי סעיף קטן (א2)</w:t>
            </w:r>
            <w:r>
              <w:rPr>
                <w:rFonts w:hint="cs"/>
                <w:rtl/>
              </w:rPr>
              <w:t>.</w:t>
            </w:r>
          </w:p>
        </w:tc>
      </w:tr>
      <w:tr w:rsidR="001B2C7E" w:rsidTr="00221F5F" w14:paraId="3D55F885" w14:textId="77777777">
        <w:trPr>
          <w:cantSplit/>
        </w:trPr>
        <w:tc>
          <w:tcPr>
            <w:tcW w:w="1871" w:type="dxa"/>
          </w:tcPr>
          <w:p w:rsidR="001B2C7E" w:rsidP="00221F5F" w:rsidRDefault="001B2C7E" w14:paraId="5E45A7DF" w14:textId="77777777">
            <w:pPr>
              <w:pStyle w:val="TableSideHeading"/>
            </w:pPr>
          </w:p>
        </w:tc>
        <w:tc>
          <w:tcPr>
            <w:tcW w:w="624" w:type="dxa"/>
          </w:tcPr>
          <w:p w:rsidR="001B2C7E" w:rsidP="00221F5F" w:rsidRDefault="001B2C7E" w14:paraId="314608E1" w14:textId="77777777">
            <w:pPr>
              <w:pStyle w:val="TableText"/>
            </w:pPr>
          </w:p>
        </w:tc>
        <w:tc>
          <w:tcPr>
            <w:tcW w:w="7146" w:type="dxa"/>
            <w:gridSpan w:val="4"/>
          </w:tcPr>
          <w:p w:rsidR="001B2C7E" w:rsidP="00221F5F" w:rsidRDefault="001B2C7E" w14:paraId="66CF64AC" w14:textId="77777777">
            <w:pPr>
              <w:pStyle w:val="TableBlock"/>
              <w:rPr>
                <w:rtl/>
              </w:rPr>
            </w:pPr>
            <w:r>
              <w:rPr>
                <w:rFonts w:hint="cs"/>
                <w:rtl/>
              </w:rPr>
              <w:t>(א2)</w:t>
            </w:r>
            <w:r>
              <w:rPr>
                <w:rtl/>
              </w:rPr>
              <w:tab/>
            </w:r>
            <w:r>
              <w:rPr>
                <w:rFonts w:hint="cs"/>
                <w:rtl/>
              </w:rPr>
              <w:t>ה</w:t>
            </w:r>
            <w:r>
              <w:rPr>
                <w:rtl/>
              </w:rPr>
              <w:t xml:space="preserve">שר, באישור ועדת העבודה </w:t>
            </w:r>
            <w:r>
              <w:rPr>
                <w:rFonts w:hint="cs"/>
                <w:rtl/>
              </w:rPr>
              <w:t>ו</w:t>
            </w:r>
            <w:r>
              <w:rPr>
                <w:rtl/>
              </w:rPr>
              <w:t xml:space="preserve">הרווחה, רשאי לקבוע תנאים לגבי זכאותו של מבוטח שהוא </w:t>
            </w:r>
            <w:r>
              <w:rPr>
                <w:rFonts w:hint="cs"/>
                <w:rtl/>
              </w:rPr>
              <w:t xml:space="preserve">עובד </w:t>
            </w:r>
            <w:r>
              <w:rPr>
                <w:rtl/>
              </w:rPr>
              <w:t xml:space="preserve">עצמאי </w:t>
            </w:r>
            <w:r>
              <w:rPr>
                <w:rFonts w:hint="cs"/>
                <w:rtl/>
              </w:rPr>
              <w:t>לדמי אבטלה."</w:t>
            </w:r>
          </w:p>
        </w:tc>
      </w:tr>
      <w:tr w:rsidR="001B2C7E" w:rsidTr="00221F5F" w14:paraId="37DD4820" w14:textId="77777777">
        <w:trPr>
          <w:cantSplit/>
        </w:trPr>
        <w:tc>
          <w:tcPr>
            <w:tcW w:w="1871" w:type="dxa"/>
          </w:tcPr>
          <w:p w:rsidR="001B2C7E" w:rsidP="00221F5F" w:rsidRDefault="001B2C7E" w14:paraId="262BDE95" w14:textId="77777777">
            <w:pPr>
              <w:pStyle w:val="TableSideHeading"/>
            </w:pPr>
            <w:r>
              <w:rPr>
                <w:rFonts w:hint="cs"/>
                <w:rtl/>
              </w:rPr>
              <w:lastRenderedPageBreak/>
              <w:t>תיקון סעיף 170</w:t>
            </w:r>
          </w:p>
        </w:tc>
        <w:tc>
          <w:tcPr>
            <w:tcW w:w="624" w:type="dxa"/>
          </w:tcPr>
          <w:p w:rsidR="001B2C7E" w:rsidP="00221F5F" w:rsidRDefault="001B2C7E" w14:paraId="7C06D2EA" w14:textId="77777777">
            <w:pPr>
              <w:pStyle w:val="TableText"/>
            </w:pPr>
            <w:r>
              <w:rPr>
                <w:rFonts w:hint="cs"/>
                <w:rtl/>
              </w:rPr>
              <w:t>4.</w:t>
            </w:r>
          </w:p>
        </w:tc>
        <w:tc>
          <w:tcPr>
            <w:tcW w:w="7146" w:type="dxa"/>
            <w:gridSpan w:val="4"/>
          </w:tcPr>
          <w:p w:rsidR="001B2C7E" w:rsidP="00221F5F" w:rsidRDefault="001B2C7E" w14:paraId="2CD66494" w14:textId="77777777">
            <w:pPr>
              <w:pStyle w:val="TableBlock"/>
            </w:pPr>
            <w:r>
              <w:rPr>
                <w:rFonts w:hint="cs"/>
                <w:rtl/>
              </w:rPr>
              <w:t>בסעיף 170 לחוק העיקרי –</w:t>
            </w:r>
          </w:p>
        </w:tc>
      </w:tr>
      <w:tr w:rsidR="001B2C7E" w:rsidTr="00221F5F" w14:paraId="596CB94D" w14:textId="77777777">
        <w:trPr>
          <w:cantSplit/>
        </w:trPr>
        <w:tc>
          <w:tcPr>
            <w:tcW w:w="1871" w:type="dxa"/>
          </w:tcPr>
          <w:p w:rsidR="001B2C7E" w:rsidP="00221F5F" w:rsidRDefault="001B2C7E" w14:paraId="3F24BC9B" w14:textId="77777777">
            <w:pPr>
              <w:pStyle w:val="TableSideHeading"/>
            </w:pPr>
          </w:p>
        </w:tc>
        <w:tc>
          <w:tcPr>
            <w:tcW w:w="624" w:type="dxa"/>
          </w:tcPr>
          <w:p w:rsidR="001B2C7E" w:rsidP="00221F5F" w:rsidRDefault="001B2C7E" w14:paraId="7F645CFF" w14:textId="77777777">
            <w:pPr>
              <w:pStyle w:val="TableText"/>
            </w:pPr>
          </w:p>
        </w:tc>
        <w:tc>
          <w:tcPr>
            <w:tcW w:w="7146" w:type="dxa"/>
            <w:gridSpan w:val="4"/>
          </w:tcPr>
          <w:p w:rsidR="001B2C7E" w:rsidP="00221F5F" w:rsidRDefault="001B2C7E" w14:paraId="4850A8E8" w14:textId="77777777">
            <w:pPr>
              <w:pStyle w:val="TableBlock"/>
            </w:pPr>
            <w:r>
              <w:rPr>
                <w:rFonts w:hint="cs"/>
                <w:rtl/>
              </w:rPr>
              <w:t>(1)</w:t>
            </w:r>
            <w:r>
              <w:rPr>
                <w:rtl/>
              </w:rPr>
              <w:tab/>
              <w:t>בסעיף קטן (א), במקום "שאינו חייל" יבוא "שהוא עובד ואינו חייל"</w:t>
            </w:r>
            <w:r>
              <w:rPr>
                <w:rFonts w:hint="cs"/>
                <w:rtl/>
              </w:rPr>
              <w:t>;</w:t>
            </w:r>
          </w:p>
        </w:tc>
      </w:tr>
      <w:tr w:rsidR="001B2C7E" w:rsidTr="00221F5F" w14:paraId="3515C578" w14:textId="77777777">
        <w:trPr>
          <w:cantSplit/>
        </w:trPr>
        <w:tc>
          <w:tcPr>
            <w:tcW w:w="1871" w:type="dxa"/>
          </w:tcPr>
          <w:p w:rsidR="001B2C7E" w:rsidP="00221F5F" w:rsidRDefault="001B2C7E" w14:paraId="3B0DA3D4" w14:textId="77777777">
            <w:pPr>
              <w:pStyle w:val="TableSideHeading"/>
            </w:pPr>
          </w:p>
        </w:tc>
        <w:tc>
          <w:tcPr>
            <w:tcW w:w="624" w:type="dxa"/>
          </w:tcPr>
          <w:p w:rsidR="001B2C7E" w:rsidP="00221F5F" w:rsidRDefault="001B2C7E" w14:paraId="1552C23A" w14:textId="77777777">
            <w:pPr>
              <w:pStyle w:val="TableText"/>
            </w:pPr>
          </w:p>
        </w:tc>
        <w:tc>
          <w:tcPr>
            <w:tcW w:w="7146" w:type="dxa"/>
            <w:gridSpan w:val="4"/>
          </w:tcPr>
          <w:p w:rsidR="001B2C7E" w:rsidP="00221F5F" w:rsidRDefault="001B2C7E" w14:paraId="22F1E61E" w14:textId="77777777">
            <w:pPr>
              <w:pStyle w:val="TableBlock"/>
            </w:pPr>
            <w:r>
              <w:rPr>
                <w:rFonts w:hint="cs"/>
                <w:rtl/>
              </w:rPr>
              <w:t>(2)</w:t>
            </w:r>
            <w:r>
              <w:rPr>
                <w:rtl/>
              </w:rPr>
              <w:tab/>
              <w:t>אחרי סעיף קטן (א) יבוא</w:t>
            </w:r>
            <w:r>
              <w:rPr>
                <w:rFonts w:hint="cs"/>
                <w:rtl/>
              </w:rPr>
              <w:t>:</w:t>
            </w:r>
          </w:p>
        </w:tc>
      </w:tr>
      <w:tr w:rsidR="001B2C7E" w:rsidTr="00221F5F" w14:paraId="582F5384" w14:textId="77777777">
        <w:trPr>
          <w:cantSplit/>
        </w:trPr>
        <w:tc>
          <w:tcPr>
            <w:tcW w:w="1871" w:type="dxa"/>
          </w:tcPr>
          <w:p w:rsidR="001B2C7E" w:rsidP="00221F5F" w:rsidRDefault="001B2C7E" w14:paraId="1F456BC1" w14:textId="77777777">
            <w:pPr>
              <w:pStyle w:val="TableSideHeading"/>
            </w:pPr>
          </w:p>
        </w:tc>
        <w:tc>
          <w:tcPr>
            <w:tcW w:w="624" w:type="dxa"/>
          </w:tcPr>
          <w:p w:rsidR="001B2C7E" w:rsidP="00221F5F" w:rsidRDefault="001B2C7E" w14:paraId="454398D0" w14:textId="77777777">
            <w:pPr>
              <w:pStyle w:val="TableText"/>
            </w:pPr>
          </w:p>
        </w:tc>
        <w:tc>
          <w:tcPr>
            <w:tcW w:w="624" w:type="dxa"/>
          </w:tcPr>
          <w:p w:rsidR="001B2C7E" w:rsidP="00221F5F" w:rsidRDefault="001B2C7E" w14:paraId="4D4A4B43" w14:textId="77777777">
            <w:pPr>
              <w:pStyle w:val="TableText"/>
            </w:pPr>
          </w:p>
        </w:tc>
        <w:tc>
          <w:tcPr>
            <w:tcW w:w="6522" w:type="dxa"/>
            <w:gridSpan w:val="3"/>
          </w:tcPr>
          <w:p w:rsidR="001B2C7E" w:rsidP="00221F5F" w:rsidRDefault="001B2C7E" w14:paraId="3636322A" w14:textId="77777777">
            <w:pPr>
              <w:pStyle w:val="TableBlock"/>
            </w:pPr>
            <w:r>
              <w:rPr>
                <w:rFonts w:hint="cs"/>
                <w:rtl/>
              </w:rPr>
              <w:t>"(א1)</w:t>
            </w:r>
            <w:r>
              <w:rPr>
                <w:rFonts w:hint="cs"/>
                <w:rtl/>
              </w:rPr>
              <w:tab/>
              <w:t xml:space="preserve">השכר היומי הממוצע, </w:t>
            </w:r>
            <w:r>
              <w:rPr>
                <w:rtl/>
              </w:rPr>
              <w:t>לגבי מובטל שהוא עצמאי</w:t>
            </w:r>
            <w:r>
              <w:rPr>
                <w:rFonts w:hint="cs"/>
                <w:rtl/>
              </w:rPr>
              <w:t xml:space="preserve"> ואינו חייל</w:t>
            </w:r>
            <w:r>
              <w:rPr>
                <w:rtl/>
              </w:rPr>
              <w:t>, יחושב לפי ההכנסה שממנה מגיעים דמי ביטוח אבטלה, בתקופה של עשרים וארבעה החודשים האחרונים שבעדם שולמו דמי ביטוח אבטלה לפני התאריך הקובע; ב</w:t>
            </w:r>
            <w:r>
              <w:rPr>
                <w:rFonts w:hint="cs"/>
                <w:rtl/>
              </w:rPr>
              <w:t>של</w:t>
            </w:r>
            <w:r>
              <w:rPr>
                <w:rtl/>
              </w:rPr>
              <w:t xml:space="preserve"> חודש </w:t>
            </w:r>
            <w:r>
              <w:rPr>
                <w:rFonts w:hint="cs"/>
                <w:rtl/>
              </w:rPr>
              <w:t>ש</w:t>
            </w:r>
            <w:r>
              <w:rPr>
                <w:rtl/>
              </w:rPr>
              <w:t>בו לא היתה הכנסה</w:t>
            </w:r>
            <w:r>
              <w:rPr>
                <w:rFonts w:hint="cs"/>
                <w:rtl/>
              </w:rPr>
              <w:t xml:space="preserve"> למובטל</w:t>
            </w:r>
            <w:r>
              <w:rPr>
                <w:rtl/>
              </w:rPr>
              <w:t xml:space="preserve">, </w:t>
            </w:r>
            <w:r>
              <w:rPr>
                <w:rFonts w:hint="cs"/>
                <w:rtl/>
              </w:rPr>
              <w:t xml:space="preserve">יחושב השכר היומי הממוצע לפי </w:t>
            </w:r>
            <w:r>
              <w:rPr>
                <w:rtl/>
              </w:rPr>
              <w:t>שכר מינימום כ</w:t>
            </w:r>
            <w:r>
              <w:rPr>
                <w:rFonts w:hint="cs"/>
                <w:rtl/>
              </w:rPr>
              <w:t>הגדרתו</w:t>
            </w:r>
            <w:r>
              <w:rPr>
                <w:rtl/>
              </w:rPr>
              <w:t xml:space="preserve"> בחוק</w:t>
            </w:r>
            <w:r>
              <w:rPr>
                <w:rFonts w:hint="cs"/>
                <w:rtl/>
              </w:rPr>
              <w:t xml:space="preserve"> </w:t>
            </w:r>
            <w:r>
              <w:rPr>
                <w:rtl/>
              </w:rPr>
              <w:t>שכר  מינימום."</w:t>
            </w:r>
          </w:p>
        </w:tc>
      </w:tr>
      <w:tr w:rsidR="001B2C7E" w:rsidTr="00221F5F" w14:paraId="767893F3" w14:textId="77777777">
        <w:trPr>
          <w:cantSplit/>
        </w:trPr>
        <w:tc>
          <w:tcPr>
            <w:tcW w:w="1871" w:type="dxa"/>
          </w:tcPr>
          <w:p w:rsidR="001B2C7E" w:rsidP="00221F5F" w:rsidRDefault="001B2C7E" w14:paraId="2AA3DC20" w14:textId="77777777">
            <w:pPr>
              <w:pStyle w:val="TableSideHeading"/>
            </w:pPr>
            <w:r>
              <w:rPr>
                <w:rFonts w:hint="cs"/>
                <w:rtl/>
              </w:rPr>
              <w:t>הוספת סעיף 171ב</w:t>
            </w:r>
          </w:p>
        </w:tc>
        <w:tc>
          <w:tcPr>
            <w:tcW w:w="624" w:type="dxa"/>
          </w:tcPr>
          <w:p w:rsidR="001B2C7E" w:rsidP="00221F5F" w:rsidRDefault="001B2C7E" w14:paraId="6B40840D" w14:textId="77777777">
            <w:pPr>
              <w:pStyle w:val="TableText"/>
            </w:pPr>
            <w:r>
              <w:rPr>
                <w:rFonts w:hint="cs"/>
                <w:rtl/>
              </w:rPr>
              <w:t>5.</w:t>
            </w:r>
          </w:p>
        </w:tc>
        <w:tc>
          <w:tcPr>
            <w:tcW w:w="7146" w:type="dxa"/>
            <w:gridSpan w:val="4"/>
          </w:tcPr>
          <w:p w:rsidR="001B2C7E" w:rsidP="00221F5F" w:rsidRDefault="001B2C7E" w14:paraId="2516CB0E" w14:textId="77777777">
            <w:pPr>
              <w:pStyle w:val="TableBlock"/>
            </w:pPr>
            <w:r>
              <w:rPr>
                <w:rFonts w:hint="cs"/>
                <w:rtl/>
              </w:rPr>
              <w:t>אחרי סעיף 171א לחוק העיקרי יבוא:</w:t>
            </w:r>
          </w:p>
        </w:tc>
      </w:tr>
      <w:tr w:rsidR="001B2C7E" w:rsidTr="00221F5F" w14:paraId="57236958" w14:textId="77777777">
        <w:trPr>
          <w:cantSplit/>
        </w:trPr>
        <w:tc>
          <w:tcPr>
            <w:tcW w:w="1871" w:type="dxa"/>
          </w:tcPr>
          <w:p w:rsidR="001B2C7E" w:rsidP="00221F5F" w:rsidRDefault="001B2C7E" w14:paraId="0AD0D681" w14:textId="77777777">
            <w:pPr>
              <w:pStyle w:val="TableSideHeading"/>
            </w:pPr>
          </w:p>
        </w:tc>
        <w:tc>
          <w:tcPr>
            <w:tcW w:w="624" w:type="dxa"/>
          </w:tcPr>
          <w:p w:rsidR="001B2C7E" w:rsidP="00221F5F" w:rsidRDefault="001B2C7E" w14:paraId="08C1C4D8" w14:textId="77777777">
            <w:pPr>
              <w:pStyle w:val="TableText"/>
            </w:pPr>
          </w:p>
        </w:tc>
        <w:tc>
          <w:tcPr>
            <w:tcW w:w="1872" w:type="dxa"/>
            <w:gridSpan w:val="2"/>
          </w:tcPr>
          <w:p w:rsidR="001B2C7E" w:rsidP="00221F5F" w:rsidRDefault="001B2C7E" w14:paraId="0CA94BDE" w14:textId="77777777">
            <w:pPr>
              <w:pStyle w:val="TableInnerSideHeading"/>
            </w:pPr>
            <w:r>
              <w:rPr>
                <w:rtl/>
              </w:rPr>
              <w:t>"הגבלת מספר תקופות לדמי אבטלה לע</w:t>
            </w:r>
            <w:r>
              <w:rPr>
                <w:rFonts w:hint="cs"/>
                <w:rtl/>
              </w:rPr>
              <w:t>ובד ע</w:t>
            </w:r>
            <w:r>
              <w:rPr>
                <w:rtl/>
              </w:rPr>
              <w:t>צמאי</w:t>
            </w:r>
          </w:p>
        </w:tc>
        <w:tc>
          <w:tcPr>
            <w:tcW w:w="624" w:type="dxa"/>
          </w:tcPr>
          <w:p w:rsidR="001B2C7E" w:rsidP="00221F5F" w:rsidRDefault="001B2C7E" w14:paraId="55D03C5E" w14:textId="77777777">
            <w:pPr>
              <w:pStyle w:val="TableText"/>
            </w:pPr>
            <w:r>
              <w:rPr>
                <w:rFonts w:hint="cs"/>
                <w:rtl/>
              </w:rPr>
              <w:t>171ב.</w:t>
            </w:r>
          </w:p>
        </w:tc>
        <w:tc>
          <w:tcPr>
            <w:tcW w:w="4650" w:type="dxa"/>
          </w:tcPr>
          <w:p w:rsidR="001B2C7E" w:rsidP="00221F5F" w:rsidRDefault="001B2C7E" w14:paraId="30A8CF3F" w14:textId="77777777">
            <w:pPr>
              <w:pStyle w:val="TableBlock"/>
            </w:pPr>
            <w:r>
              <w:rPr>
                <w:rFonts w:hint="cs"/>
                <w:rtl/>
              </w:rPr>
              <w:t>(א)</w:t>
            </w:r>
            <w:r>
              <w:rPr>
                <w:rtl/>
              </w:rPr>
              <w:tab/>
            </w:r>
            <w:r>
              <w:rPr>
                <w:rFonts w:hint="cs"/>
                <w:rtl/>
              </w:rPr>
              <w:t>בלי לגרוע מהוראות סעיף</w:t>
            </w:r>
            <w:r>
              <w:rPr>
                <w:rtl/>
              </w:rPr>
              <w:t xml:space="preserve"> 171, לא ישולמו דמי אבטלה למובטל שהוא </w:t>
            </w:r>
            <w:r>
              <w:rPr>
                <w:rFonts w:hint="cs"/>
                <w:rtl/>
              </w:rPr>
              <w:t xml:space="preserve">עובד </w:t>
            </w:r>
            <w:r>
              <w:rPr>
                <w:rtl/>
              </w:rPr>
              <w:t>עצמאי</w:t>
            </w:r>
            <w:r>
              <w:rPr>
                <w:rFonts w:hint="cs"/>
                <w:rtl/>
              </w:rPr>
              <w:t xml:space="preserve"> כמשמעותו בסעיף 160</w:t>
            </w:r>
            <w:r>
              <w:rPr>
                <w:rtl/>
              </w:rPr>
              <w:t>,</w:t>
            </w:r>
            <w:r>
              <w:rPr>
                <w:rFonts w:hint="cs"/>
                <w:rtl/>
              </w:rPr>
              <w:t xml:space="preserve"> ב</w:t>
            </w:r>
            <w:r>
              <w:rPr>
                <w:rtl/>
              </w:rPr>
              <w:t>יותר מ</w:t>
            </w:r>
            <w:r>
              <w:rPr>
                <w:rFonts w:hint="cs"/>
                <w:rtl/>
              </w:rPr>
              <w:t>שלוש</w:t>
            </w:r>
            <w:r>
              <w:rPr>
                <w:rtl/>
              </w:rPr>
              <w:t xml:space="preserve"> תקופות </w:t>
            </w:r>
            <w:r>
              <w:rPr>
                <w:rFonts w:hint="cs"/>
                <w:rtl/>
              </w:rPr>
              <w:t xml:space="preserve">תשלום </w:t>
            </w:r>
            <w:r>
              <w:rPr>
                <w:rtl/>
              </w:rPr>
              <w:t xml:space="preserve">מרביות כמשמעותן בסעיף 171(א), </w:t>
            </w:r>
            <w:r>
              <w:rPr>
                <w:rFonts w:hint="cs"/>
                <w:rtl/>
              </w:rPr>
              <w:t xml:space="preserve">במצטבר במשך </w:t>
            </w:r>
            <w:r>
              <w:rPr>
                <w:rtl/>
              </w:rPr>
              <w:t>כל חייו</w:t>
            </w:r>
            <w:r>
              <w:rPr>
                <w:rFonts w:hint="cs"/>
                <w:rtl/>
              </w:rPr>
              <w:t xml:space="preserve">. </w:t>
            </w:r>
          </w:p>
        </w:tc>
      </w:tr>
      <w:tr w:rsidR="001B2C7E" w:rsidTr="00221F5F" w14:paraId="48074566" w14:textId="77777777">
        <w:trPr>
          <w:cantSplit/>
        </w:trPr>
        <w:tc>
          <w:tcPr>
            <w:tcW w:w="1871" w:type="dxa"/>
          </w:tcPr>
          <w:p w:rsidR="001B2C7E" w:rsidP="00221F5F" w:rsidRDefault="001B2C7E" w14:paraId="048D3D6C" w14:textId="77777777">
            <w:pPr>
              <w:pStyle w:val="TableSideHeading"/>
            </w:pPr>
          </w:p>
        </w:tc>
        <w:tc>
          <w:tcPr>
            <w:tcW w:w="624" w:type="dxa"/>
          </w:tcPr>
          <w:p w:rsidR="001B2C7E" w:rsidP="00221F5F" w:rsidRDefault="001B2C7E" w14:paraId="397A13A7" w14:textId="77777777">
            <w:pPr>
              <w:pStyle w:val="TableText"/>
            </w:pPr>
          </w:p>
        </w:tc>
        <w:tc>
          <w:tcPr>
            <w:tcW w:w="1872" w:type="dxa"/>
            <w:gridSpan w:val="2"/>
          </w:tcPr>
          <w:p w:rsidR="001B2C7E" w:rsidP="00221F5F" w:rsidRDefault="001B2C7E" w14:paraId="1B50C915" w14:textId="77777777">
            <w:pPr>
              <w:pStyle w:val="TableInnerSideHeading"/>
              <w:rPr>
                <w:rtl/>
              </w:rPr>
            </w:pPr>
          </w:p>
        </w:tc>
        <w:tc>
          <w:tcPr>
            <w:tcW w:w="624" w:type="dxa"/>
          </w:tcPr>
          <w:p w:rsidR="001B2C7E" w:rsidP="00221F5F" w:rsidRDefault="001B2C7E" w14:paraId="053EF530" w14:textId="77777777">
            <w:pPr>
              <w:pStyle w:val="TableText"/>
              <w:rPr>
                <w:rtl/>
              </w:rPr>
            </w:pPr>
          </w:p>
        </w:tc>
        <w:tc>
          <w:tcPr>
            <w:tcW w:w="4650" w:type="dxa"/>
          </w:tcPr>
          <w:p w:rsidR="001B2C7E" w:rsidP="00221F5F" w:rsidRDefault="001B2C7E" w14:paraId="5B50DBA6" w14:textId="77777777">
            <w:pPr>
              <w:pStyle w:val="TableBlock"/>
              <w:rPr>
                <w:rtl/>
              </w:rPr>
            </w:pPr>
            <w:r>
              <w:rPr>
                <w:rFonts w:hint="cs"/>
                <w:rtl/>
              </w:rPr>
              <w:t>(ב)</w:t>
            </w:r>
            <w:r>
              <w:rPr>
                <w:rtl/>
              </w:rPr>
              <w:tab/>
            </w:r>
            <w:r>
              <w:rPr>
                <w:rFonts w:hint="cs"/>
                <w:rtl/>
              </w:rPr>
              <w:t>בלי לגרוע מהוראות סעיף 161, תשלום דמי אבטלה ייעשה רק אם חלפו 3 שנים מפרק הזמן הקודם שבו שולמו לעצמאי דמי אבטלה."</w:t>
            </w:r>
          </w:p>
        </w:tc>
      </w:tr>
      <w:tr w:rsidR="001B2C7E" w:rsidTr="00221F5F" w14:paraId="406AD875" w14:textId="77777777">
        <w:trPr>
          <w:cantSplit/>
        </w:trPr>
        <w:tc>
          <w:tcPr>
            <w:tcW w:w="1871" w:type="dxa"/>
          </w:tcPr>
          <w:p w:rsidR="001B2C7E" w:rsidP="00221F5F" w:rsidRDefault="001B2C7E" w14:paraId="59FE2894" w14:textId="77777777">
            <w:pPr>
              <w:pStyle w:val="TableSideHeading"/>
            </w:pPr>
            <w:r>
              <w:rPr>
                <w:rFonts w:hint="cs"/>
                <w:rtl/>
              </w:rPr>
              <w:t>תיקון סעיף 337</w:t>
            </w:r>
          </w:p>
        </w:tc>
        <w:tc>
          <w:tcPr>
            <w:tcW w:w="624" w:type="dxa"/>
          </w:tcPr>
          <w:p w:rsidR="001B2C7E" w:rsidP="00221F5F" w:rsidRDefault="001B2C7E" w14:paraId="06679D65" w14:textId="77777777">
            <w:pPr>
              <w:pStyle w:val="TableText"/>
            </w:pPr>
            <w:r>
              <w:rPr>
                <w:rFonts w:hint="cs"/>
                <w:rtl/>
              </w:rPr>
              <w:t>6.</w:t>
            </w:r>
          </w:p>
        </w:tc>
        <w:tc>
          <w:tcPr>
            <w:tcW w:w="7146" w:type="dxa"/>
            <w:gridSpan w:val="4"/>
          </w:tcPr>
          <w:p w:rsidR="001B2C7E" w:rsidP="00221F5F" w:rsidRDefault="001B2C7E" w14:paraId="500DE72F" w14:textId="77777777">
            <w:pPr>
              <w:pStyle w:val="TableBlock"/>
            </w:pPr>
            <w:r>
              <w:rPr>
                <w:rFonts w:hint="cs"/>
                <w:rtl/>
              </w:rPr>
              <w:t>בסעיף 337(א) לחוק העיקרי –</w:t>
            </w:r>
          </w:p>
        </w:tc>
      </w:tr>
      <w:tr w:rsidR="001B2C7E" w:rsidTr="00221F5F" w14:paraId="070F1ACE" w14:textId="77777777">
        <w:trPr>
          <w:cantSplit/>
        </w:trPr>
        <w:tc>
          <w:tcPr>
            <w:tcW w:w="1871" w:type="dxa"/>
          </w:tcPr>
          <w:p w:rsidR="001B2C7E" w:rsidP="00221F5F" w:rsidRDefault="001B2C7E" w14:paraId="5DFEC6EF" w14:textId="77777777">
            <w:pPr>
              <w:pStyle w:val="TableSideHeading"/>
              <w:rPr>
                <w:rtl/>
              </w:rPr>
            </w:pPr>
          </w:p>
        </w:tc>
        <w:tc>
          <w:tcPr>
            <w:tcW w:w="624" w:type="dxa"/>
          </w:tcPr>
          <w:p w:rsidR="001B2C7E" w:rsidP="00221F5F" w:rsidRDefault="001B2C7E" w14:paraId="1222B524" w14:textId="77777777">
            <w:pPr>
              <w:pStyle w:val="TableText"/>
              <w:rPr>
                <w:rtl/>
              </w:rPr>
            </w:pPr>
          </w:p>
        </w:tc>
        <w:tc>
          <w:tcPr>
            <w:tcW w:w="7146" w:type="dxa"/>
            <w:gridSpan w:val="4"/>
          </w:tcPr>
          <w:p w:rsidR="001B2C7E" w:rsidP="00221F5F" w:rsidRDefault="001B2C7E" w14:paraId="588BD249" w14:textId="77777777">
            <w:pPr>
              <w:pStyle w:val="TableBlock"/>
              <w:rPr>
                <w:rtl/>
              </w:rPr>
            </w:pPr>
            <w:r>
              <w:rPr>
                <w:rFonts w:hint="cs"/>
                <w:rtl/>
              </w:rPr>
              <w:t xml:space="preserve">(1) </w:t>
            </w:r>
            <w:r>
              <w:rPr>
                <w:rtl/>
              </w:rPr>
              <w:tab/>
            </w:r>
            <w:r>
              <w:rPr>
                <w:rFonts w:hint="cs"/>
                <w:rtl/>
              </w:rPr>
              <w:t>בפסקה (1), אחרי "לענין עובד" יבוא "שאינו עובד עצמאי";</w:t>
            </w:r>
          </w:p>
        </w:tc>
      </w:tr>
      <w:tr w:rsidRPr="00006831" w:rsidR="001B2C7E" w:rsidTr="00221F5F" w14:paraId="085D4B8B" w14:textId="77777777">
        <w:trPr>
          <w:cantSplit/>
        </w:trPr>
        <w:tc>
          <w:tcPr>
            <w:tcW w:w="1871" w:type="dxa"/>
          </w:tcPr>
          <w:p w:rsidR="001B2C7E" w:rsidP="00221F5F" w:rsidRDefault="001B2C7E" w14:paraId="698413F8" w14:textId="77777777">
            <w:pPr>
              <w:pStyle w:val="TableSideHeading"/>
            </w:pPr>
          </w:p>
        </w:tc>
        <w:tc>
          <w:tcPr>
            <w:tcW w:w="624" w:type="dxa"/>
          </w:tcPr>
          <w:p w:rsidR="001B2C7E" w:rsidP="00221F5F" w:rsidRDefault="001B2C7E" w14:paraId="0AFF07B5" w14:textId="77777777">
            <w:pPr>
              <w:pStyle w:val="TableText"/>
            </w:pPr>
          </w:p>
        </w:tc>
        <w:tc>
          <w:tcPr>
            <w:tcW w:w="7146" w:type="dxa"/>
            <w:gridSpan w:val="4"/>
          </w:tcPr>
          <w:p w:rsidRPr="00006831" w:rsidR="001B2C7E" w:rsidP="00221F5F" w:rsidRDefault="001B2C7E" w14:paraId="74D772D5" w14:textId="77777777">
            <w:pPr>
              <w:pStyle w:val="TableBlock"/>
            </w:pPr>
            <w:r w:rsidRPr="00006831">
              <w:rPr>
                <w:rFonts w:hint="cs"/>
                <w:rtl/>
              </w:rPr>
              <w:t>(</w:t>
            </w:r>
            <w:r>
              <w:rPr>
                <w:rFonts w:hint="cs"/>
                <w:rtl/>
              </w:rPr>
              <w:t>2</w:t>
            </w:r>
            <w:r w:rsidRPr="00006831">
              <w:rPr>
                <w:rFonts w:hint="cs"/>
                <w:rtl/>
              </w:rPr>
              <w:t>)</w:t>
            </w:r>
            <w:r w:rsidRPr="00006831">
              <w:rPr>
                <w:rtl/>
              </w:rPr>
              <w:tab/>
              <w:t xml:space="preserve">בפסקה (2), </w:t>
            </w:r>
            <w:r>
              <w:rPr>
                <w:rFonts w:hint="cs"/>
                <w:rtl/>
              </w:rPr>
              <w:t>אחרי</w:t>
            </w:r>
            <w:r>
              <w:rPr>
                <w:rtl/>
              </w:rPr>
              <w:t xml:space="preserve"> "לעניין מבוטח אחר" יבוא</w:t>
            </w:r>
            <w:r w:rsidRPr="00006831">
              <w:rPr>
                <w:rtl/>
              </w:rPr>
              <w:t xml:space="preserve"> "שהוא אינו עובד או עובד עצמאי";</w:t>
            </w:r>
          </w:p>
        </w:tc>
      </w:tr>
      <w:tr w:rsidRPr="00006831" w:rsidR="001B2C7E" w:rsidTr="00221F5F" w14:paraId="0231B51B" w14:textId="77777777">
        <w:trPr>
          <w:cantSplit/>
        </w:trPr>
        <w:tc>
          <w:tcPr>
            <w:tcW w:w="1871" w:type="dxa"/>
          </w:tcPr>
          <w:p w:rsidR="001B2C7E" w:rsidP="00221F5F" w:rsidRDefault="001B2C7E" w14:paraId="7E27D834" w14:textId="77777777">
            <w:pPr>
              <w:pStyle w:val="TableSideHeading"/>
            </w:pPr>
          </w:p>
        </w:tc>
        <w:tc>
          <w:tcPr>
            <w:tcW w:w="624" w:type="dxa"/>
          </w:tcPr>
          <w:p w:rsidR="001B2C7E" w:rsidP="00221F5F" w:rsidRDefault="001B2C7E" w14:paraId="599E3262" w14:textId="77777777">
            <w:pPr>
              <w:pStyle w:val="TableText"/>
            </w:pPr>
          </w:p>
        </w:tc>
        <w:tc>
          <w:tcPr>
            <w:tcW w:w="7146" w:type="dxa"/>
            <w:gridSpan w:val="4"/>
          </w:tcPr>
          <w:p w:rsidRPr="00006831" w:rsidR="001B2C7E" w:rsidP="00221F5F" w:rsidRDefault="001B2C7E" w14:paraId="24FFBE3B" w14:textId="77777777">
            <w:pPr>
              <w:pStyle w:val="TableBlock"/>
            </w:pPr>
            <w:r>
              <w:rPr>
                <w:rFonts w:hint="cs"/>
                <w:rtl/>
              </w:rPr>
              <w:t>(3)</w:t>
            </w:r>
            <w:r>
              <w:rPr>
                <w:rtl/>
              </w:rPr>
              <w:tab/>
            </w:r>
            <w:r>
              <w:rPr>
                <w:rFonts w:hint="cs"/>
                <w:rtl/>
              </w:rPr>
              <w:t>אחרי פסקה (2) יבוא:</w:t>
            </w:r>
          </w:p>
        </w:tc>
      </w:tr>
      <w:tr w:rsidRPr="00006831" w:rsidR="001B2C7E" w:rsidTr="00221F5F" w14:paraId="4A6970F5" w14:textId="77777777">
        <w:trPr>
          <w:cantSplit/>
        </w:trPr>
        <w:tc>
          <w:tcPr>
            <w:tcW w:w="1871" w:type="dxa"/>
          </w:tcPr>
          <w:p w:rsidR="001B2C7E" w:rsidP="00221F5F" w:rsidRDefault="001B2C7E" w14:paraId="47FD6DDA" w14:textId="77777777">
            <w:pPr>
              <w:pStyle w:val="TableSideHeading"/>
            </w:pPr>
          </w:p>
        </w:tc>
        <w:tc>
          <w:tcPr>
            <w:tcW w:w="624" w:type="dxa"/>
          </w:tcPr>
          <w:p w:rsidR="001B2C7E" w:rsidP="00221F5F" w:rsidRDefault="001B2C7E" w14:paraId="606C2202" w14:textId="77777777">
            <w:pPr>
              <w:pStyle w:val="TableText"/>
            </w:pPr>
          </w:p>
        </w:tc>
        <w:tc>
          <w:tcPr>
            <w:tcW w:w="624" w:type="dxa"/>
          </w:tcPr>
          <w:p w:rsidR="001B2C7E" w:rsidP="00221F5F" w:rsidRDefault="001B2C7E" w14:paraId="2F618117" w14:textId="77777777">
            <w:pPr>
              <w:pStyle w:val="TableText"/>
            </w:pPr>
          </w:p>
        </w:tc>
        <w:tc>
          <w:tcPr>
            <w:tcW w:w="6522" w:type="dxa"/>
            <w:gridSpan w:val="3"/>
          </w:tcPr>
          <w:p w:rsidRPr="00006831" w:rsidR="001B2C7E" w:rsidP="00221F5F" w:rsidRDefault="001B2C7E" w14:paraId="4AA22B71" w14:textId="77777777">
            <w:pPr>
              <w:pStyle w:val="TableBlock"/>
              <w:rPr>
                <w:sz w:val="26"/>
              </w:rPr>
            </w:pPr>
            <w:r>
              <w:rPr>
                <w:rFonts w:hint="cs"/>
                <w:rtl/>
              </w:rPr>
              <w:t>"(3)</w:t>
            </w:r>
            <w:r>
              <w:rPr>
                <w:rtl/>
              </w:rPr>
              <w:tab/>
            </w:r>
            <w:r>
              <w:rPr>
                <w:rFonts w:hint="cs"/>
                <w:rtl/>
              </w:rPr>
              <w:t xml:space="preserve">השר, באישור ועדת העבודה, הרווחה והבריאות של הכנסת, יקבע את </w:t>
            </w:r>
            <w:r>
              <w:rPr>
                <w:rtl/>
              </w:rPr>
              <w:t>ש</w:t>
            </w:r>
            <w:r>
              <w:rPr>
                <w:rFonts w:hint="cs"/>
                <w:rtl/>
              </w:rPr>
              <w:t>י</w:t>
            </w:r>
            <w:r>
              <w:rPr>
                <w:rtl/>
              </w:rPr>
              <w:t>עור דמי הביטוח החודשיים לפי סעי</w:t>
            </w:r>
            <w:r>
              <w:rPr>
                <w:rFonts w:hint="cs"/>
                <w:rtl/>
              </w:rPr>
              <w:t>ף</w:t>
            </w:r>
            <w:r>
              <w:rPr>
                <w:rtl/>
              </w:rPr>
              <w:t xml:space="preserve"> 335</w:t>
            </w:r>
            <w:r>
              <w:rPr>
                <w:rFonts w:hint="cs"/>
                <w:rtl/>
              </w:rPr>
              <w:t xml:space="preserve"> </w:t>
            </w:r>
            <w:r>
              <w:rPr>
                <w:rtl/>
              </w:rPr>
              <w:t xml:space="preserve"> לעניין </w:t>
            </w:r>
            <w:r>
              <w:rPr>
                <w:rFonts w:hint="cs"/>
                <w:rtl/>
              </w:rPr>
              <w:t xml:space="preserve">עובד </w:t>
            </w:r>
            <w:r>
              <w:rPr>
                <w:rtl/>
              </w:rPr>
              <w:t>עצמאי."</w:t>
            </w:r>
          </w:p>
        </w:tc>
      </w:tr>
      <w:tr w:rsidR="001B2C7E" w:rsidTr="00221F5F" w14:paraId="39B4A77D" w14:textId="77777777">
        <w:trPr>
          <w:cantSplit/>
        </w:trPr>
        <w:tc>
          <w:tcPr>
            <w:tcW w:w="1871" w:type="dxa"/>
          </w:tcPr>
          <w:p w:rsidRPr="00006831" w:rsidR="001B2C7E" w:rsidP="00221F5F" w:rsidRDefault="001B2C7E" w14:paraId="4A1F37DA" w14:textId="77777777">
            <w:pPr>
              <w:pStyle w:val="TableSideHeading"/>
            </w:pPr>
            <w:r>
              <w:rPr>
                <w:rFonts w:hint="cs"/>
                <w:rtl/>
              </w:rPr>
              <w:t>תחילה</w:t>
            </w:r>
          </w:p>
        </w:tc>
        <w:tc>
          <w:tcPr>
            <w:tcW w:w="624" w:type="dxa"/>
          </w:tcPr>
          <w:p w:rsidR="001B2C7E" w:rsidP="00221F5F" w:rsidRDefault="001B2C7E" w14:paraId="2AAE7FA9" w14:textId="77777777">
            <w:pPr>
              <w:pStyle w:val="TableText"/>
            </w:pPr>
            <w:r>
              <w:rPr>
                <w:rFonts w:hint="cs"/>
                <w:rtl/>
              </w:rPr>
              <w:t>7.</w:t>
            </w:r>
          </w:p>
        </w:tc>
        <w:tc>
          <w:tcPr>
            <w:tcW w:w="7146" w:type="dxa"/>
            <w:gridSpan w:val="4"/>
          </w:tcPr>
          <w:p w:rsidR="001B2C7E" w:rsidP="00221F5F" w:rsidRDefault="001B2C7E" w14:paraId="03644B98" w14:textId="77777777">
            <w:pPr>
              <w:pStyle w:val="TableBlock"/>
            </w:pPr>
            <w:r>
              <w:rPr>
                <w:rFonts w:hint="cs"/>
                <w:rtl/>
              </w:rPr>
              <w:t>(א)</w:t>
            </w:r>
            <w:r>
              <w:rPr>
                <w:rtl/>
              </w:rPr>
              <w:tab/>
              <w:t>תחילת</w:t>
            </w:r>
            <w:r>
              <w:rPr>
                <w:rFonts w:hint="cs"/>
                <w:rtl/>
              </w:rPr>
              <w:t>ם של</w:t>
            </w:r>
            <w:r>
              <w:rPr>
                <w:rtl/>
              </w:rPr>
              <w:t xml:space="preserve"> סעיפים 28ג ו</w:t>
            </w:r>
            <w:r>
              <w:rPr>
                <w:rFonts w:hint="cs"/>
                <w:rtl/>
              </w:rPr>
              <w:t>-</w:t>
            </w:r>
            <w:r>
              <w:rPr>
                <w:rtl/>
              </w:rPr>
              <w:t>337 לחוק ה</w:t>
            </w:r>
            <w:r>
              <w:rPr>
                <w:rFonts w:hint="cs"/>
                <w:rtl/>
              </w:rPr>
              <w:t>עיקרי</w:t>
            </w:r>
            <w:r>
              <w:rPr>
                <w:rtl/>
              </w:rPr>
              <w:t xml:space="preserve">, כנוסחם בסעיפים 1 ו-6 </w:t>
            </w:r>
            <w:r>
              <w:rPr>
                <w:rFonts w:hint="cs"/>
                <w:rtl/>
              </w:rPr>
              <w:t>ל</w:t>
            </w:r>
            <w:r>
              <w:rPr>
                <w:rtl/>
              </w:rPr>
              <w:t>חוק זה, ב</w:t>
            </w:r>
            <w:r>
              <w:rPr>
                <w:rFonts w:hint="cs"/>
                <w:rtl/>
              </w:rPr>
              <w:t>-</w:t>
            </w:r>
            <w:r>
              <w:rPr>
                <w:rtl/>
              </w:rPr>
              <w:t>1 לחודש שלאחר יום פרסומו</w:t>
            </w:r>
            <w:r>
              <w:rPr>
                <w:rFonts w:hint="cs"/>
                <w:rtl/>
              </w:rPr>
              <w:t xml:space="preserve"> של חוק זה</w:t>
            </w:r>
            <w:r>
              <w:rPr>
                <w:rtl/>
              </w:rPr>
              <w:t>.</w:t>
            </w:r>
          </w:p>
        </w:tc>
      </w:tr>
    </w:tbl>
    <w:p w:rsidR="002D1EE3" w:rsidP="002D1EE3" w:rsidRDefault="002D1EE3" w14:paraId="7F6961CA" w14:textId="77777777">
      <w:pPr>
        <w:pStyle w:val="HeadDivreiHesber"/>
        <w:rPr>
          <w:rtl/>
        </w:rPr>
      </w:pPr>
      <w:r w:rsidRPr="0027450A">
        <w:rPr>
          <w:rFonts w:hint="cs"/>
          <w:rtl/>
        </w:rPr>
        <w:t>דברי הסבר</w:t>
      </w:r>
    </w:p>
    <w:p w:rsidR="001B2C7E" w:rsidP="001B2C7E" w:rsidRDefault="001B2C7E" w14:paraId="46ADCE15" w14:textId="77777777">
      <w:pPr>
        <w:pStyle w:val="Hesber"/>
        <w:rPr>
          <w:rtl/>
        </w:rPr>
      </w:pPr>
      <w:r>
        <w:rPr>
          <w:rtl/>
        </w:rPr>
        <w:t xml:space="preserve">כיום, חוק הביטוח הלאומי [נוסח משולב], התשנ"ה–1995 (להלן – חוק הביטוח הלאומי),  קובע </w:t>
      </w:r>
      <w:r>
        <w:rPr>
          <w:rtl/>
        </w:rPr>
        <w:lastRenderedPageBreak/>
        <w:t xml:space="preserve">זכאות לדמי אבטלה לשכירים אשר חדלו מעבודתם וזאת בתנאים המפורטים בחוק. עם זאת, חוק הביטוח הלאומי אינו מזכה, בשום תנאי, עצמאים אשר סגרו את עסקם בקבלת דמי אבטלה. אפלייתם של העצמאים ושלילת זכאותם לדמי אבטלה אינה מתיישבת עם תכליתו של החוק והעקרונות העומדים בבסיס תורת הביטחון הסוציאלי. ענף האבטלה בחוק הביטוח הלאומי נועד בעיקרו לאפשר מינימום של קיום בכבוד לכל אותם אלו אשר נקלעו למצב של אבטלה חיכוכית המתפרסת על פני תקופה של מספר חודשים ולסייע להם לשוב למעגל התעסוקה. עקרונות אלו תקפים לגבי עצמאים כשם שהם תקפים לגבי עובדים שכירים. </w:t>
      </w:r>
    </w:p>
    <w:p w:rsidR="001B2C7E" w:rsidP="001B2C7E" w:rsidRDefault="001B2C7E" w14:paraId="14C7D3E6" w14:textId="77777777">
      <w:pPr>
        <w:pStyle w:val="Hesber"/>
        <w:rPr>
          <w:rtl/>
        </w:rPr>
      </w:pPr>
      <w:r>
        <w:rPr>
          <w:rtl/>
        </w:rPr>
        <w:t xml:space="preserve">המשבר הכלכלי הנוכחי הנובע ממגפת הקורונה מוכיח את הצורך בחקיקה זו. הדברים מקבלים משנה תוקף נוכח המגמה הגלובלית ותנועת המשק בישראל להעדפה מובהקת של העסקת עצמאים (פרילנסרים) על העסקת עובדים שכירים. </w:t>
      </w:r>
    </w:p>
    <w:p w:rsidR="001B2C7E" w:rsidP="001B2C7E" w:rsidRDefault="001B2C7E" w14:paraId="5118D0FB" w14:textId="77777777">
      <w:pPr>
        <w:pStyle w:val="Hesber"/>
        <w:rPr>
          <w:rtl/>
        </w:rPr>
      </w:pPr>
      <w:r>
        <w:rPr>
          <w:rtl/>
        </w:rPr>
        <w:t xml:space="preserve">כחצי מיליון עצמאים ועצמאיות, בעלי ובעלות עסקים קטנים, משלמים דמי ביטוח שאינם פחותים בהרבה מהעובד השכיר למוסד לביטוח לאומי, כאשר מצבור כספים רב זה היה יכול להעניק לציבור העצמאים בישראל רשת ביטחון סוציאלית. </w:t>
      </w:r>
    </w:p>
    <w:p w:rsidR="001B2C7E" w:rsidP="001B2C7E" w:rsidRDefault="001B2C7E" w14:paraId="40161064" w14:textId="77777777">
      <w:pPr>
        <w:pStyle w:val="Hesber"/>
        <w:rPr>
          <w:rtl/>
        </w:rPr>
      </w:pPr>
      <w:r>
        <w:rPr>
          <w:rtl/>
        </w:rPr>
        <w:t xml:space="preserve">העסקים הקטנים בישראל הם מנוע צמיחה משמעותי המייצר מקומות תעסוקה במהירות גבוהה יחסית. לאור זאת על המדינה לעודד יזמים לפתוח עסקים קטנים ולתת להם רשת ביטחון בדמות דמי אבטלה במקרה של סגירת העסקים. </w:t>
      </w:r>
    </w:p>
    <w:p w:rsidR="001B2C7E" w:rsidP="001B2C7E" w:rsidRDefault="001B2C7E" w14:paraId="297F92B0" w14:textId="77777777">
      <w:pPr>
        <w:pStyle w:val="Hesber"/>
        <w:rPr>
          <w:rtl/>
        </w:rPr>
      </w:pPr>
      <w:r>
        <w:rPr>
          <w:rtl/>
        </w:rPr>
        <w:t xml:space="preserve">להלן מוצע להקים ענף ביטוח נפרד למטרת תשלום דמי אבטלה לעצמאים. מאחר שהכנסתו של עצמאי עשויה להשתנות משמעותית מחודש לחודש, יחושבו דמי האבטלה על בסיס הכנסתו הממוצעת בשנתיים שקדמו למועד שבו היה מובטל. כן מוצע להגביל את קבלת דמי האבטלה למספר פעמים במהלך החיים. </w:t>
      </w:r>
    </w:p>
    <w:p w:rsidR="001B2C7E" w:rsidP="001B2C7E" w:rsidRDefault="001B2C7E" w14:paraId="1E2B32EC" w14:textId="77777777">
      <w:pPr>
        <w:pStyle w:val="Hesber"/>
        <w:rPr>
          <w:rtl/>
        </w:rPr>
      </w:pPr>
      <w:r>
        <w:rPr>
          <w:rtl/>
        </w:rPr>
        <w:t>במדינות רבות ניתן סיוע לעצמאים שנקלעו לקשיים כדי לאפשר להם לשקם את העסק שבבעלותם.</w:t>
      </w:r>
    </w:p>
    <w:p w:rsidR="001B2C7E" w:rsidP="001B2C7E" w:rsidRDefault="001B2C7E" w14:paraId="7A4D380F" w14:textId="77777777">
      <w:pPr>
        <w:pStyle w:val="Hesber"/>
        <w:rPr>
          <w:rtl/>
        </w:rPr>
      </w:pPr>
      <w:r>
        <w:rPr>
          <w:rtl/>
        </w:rPr>
        <w:t xml:space="preserve">דוגמאות להלן: </w:t>
      </w:r>
    </w:p>
    <w:p w:rsidR="001B2C7E" w:rsidP="001B2C7E" w:rsidRDefault="001B2C7E" w14:paraId="7F6C9DB8" w14:textId="77777777">
      <w:pPr>
        <w:pStyle w:val="Hesber"/>
        <w:rPr>
          <w:rtl/>
        </w:rPr>
      </w:pPr>
      <w:r>
        <w:rPr>
          <w:rtl/>
        </w:rPr>
        <w:t>איסלנד- מאז שנת 1997 נהוג באיסלנד ביטוח אבטלה חובה לכלל העובדים. דמי האבטלה הם בשיעור קבוע, עבודה מלאה במשך כל 12 החודשים שקדמו לתקופת האבטלה מזכה בתשלום המרבי.</w:t>
      </w:r>
    </w:p>
    <w:p w:rsidR="001B2C7E" w:rsidP="001B2C7E" w:rsidRDefault="001B2C7E" w14:paraId="04EB88DE" w14:textId="77777777">
      <w:pPr>
        <w:pStyle w:val="Hesber"/>
        <w:rPr>
          <w:rtl/>
        </w:rPr>
      </w:pPr>
      <w:r>
        <w:rPr>
          <w:rtl/>
        </w:rPr>
        <w:t>עצמאי המבקש לקבל דמי אבטלה מחויב לעמוד גם בתנאים אלה: תשלום לביטוח לאומי במשך 12</w:t>
      </w:r>
    </w:p>
    <w:p w:rsidR="001B2C7E" w:rsidP="001B2C7E" w:rsidRDefault="001B2C7E" w14:paraId="5AEE6B36" w14:textId="77777777">
      <w:pPr>
        <w:pStyle w:val="Hesber"/>
        <w:rPr>
          <w:rtl/>
        </w:rPr>
      </w:pPr>
      <w:r>
        <w:rPr>
          <w:rtl/>
        </w:rPr>
        <w:t>החודשים שקדמו לאבטלה ותשלום מס הכנסה שלושה חודשים לפחות מ-12 החודשים האמורים.</w:t>
      </w:r>
    </w:p>
    <w:p w:rsidR="001B2C7E" w:rsidP="001B2C7E" w:rsidRDefault="001B2C7E" w14:paraId="0793EA29" w14:textId="77777777">
      <w:pPr>
        <w:pStyle w:val="Hesber"/>
        <w:rPr>
          <w:rtl/>
        </w:rPr>
      </w:pPr>
      <w:r>
        <w:rPr>
          <w:rtl/>
        </w:rPr>
        <w:t>דנמרק- מאז שנת 1976 נהוג ביטוח אבטלה גם לעצמאים, באמצעות שתי קרנות. התשלום לעצמאי</w:t>
      </w:r>
    </w:p>
    <w:p w:rsidR="001B2C7E" w:rsidP="001B2C7E" w:rsidRDefault="001B2C7E" w14:paraId="508ADDD1" w14:textId="77777777">
      <w:pPr>
        <w:pStyle w:val="Hesber"/>
        <w:rPr>
          <w:rtl/>
        </w:rPr>
      </w:pPr>
      <w:r>
        <w:rPr>
          <w:rtl/>
        </w:rPr>
        <w:t>מותנה בהצגת הוכחה שסגר את העסק או מכר אותו, ובכך שהוא מחפש עבודה כשכיר.</w:t>
      </w:r>
    </w:p>
    <w:p w:rsidR="001B2C7E" w:rsidP="001B2C7E" w:rsidRDefault="001B2C7E" w14:paraId="7A6C7A3B" w14:textId="77777777">
      <w:pPr>
        <w:pStyle w:val="Hesber"/>
        <w:rPr>
          <w:rtl/>
        </w:rPr>
      </w:pPr>
      <w:r>
        <w:rPr>
          <w:rtl/>
        </w:rPr>
        <w:t>סכום דמי האבטלה נקבע על-פי ההכנסה במשך שלוש שנים, והשנים המובאות בחשבון הן שלוש השנים</w:t>
      </w:r>
    </w:p>
    <w:p w:rsidR="001B2C7E" w:rsidP="001B2C7E" w:rsidRDefault="001B2C7E" w14:paraId="2E9A2B70" w14:textId="77777777">
      <w:pPr>
        <w:pStyle w:val="Hesber"/>
        <w:rPr>
          <w:rtl/>
        </w:rPr>
      </w:pPr>
      <w:r>
        <w:rPr>
          <w:rtl/>
        </w:rPr>
        <w:t>הטובות מתוך חמש השנים האחרונות.</w:t>
      </w:r>
    </w:p>
    <w:p w:rsidR="001B2C7E" w:rsidP="001B2C7E" w:rsidRDefault="001B2C7E" w14:paraId="6B8120DB" w14:textId="77777777">
      <w:pPr>
        <w:pStyle w:val="Hesber"/>
        <w:rPr>
          <w:rtl/>
        </w:rPr>
      </w:pPr>
      <w:r>
        <w:rPr>
          <w:rtl/>
        </w:rPr>
        <w:t>פינלנד- ביטוח האבטלה לעצמאים מיושם באמצעות קרנות (לא חובה) ומותנה בחיפוש עבודה כשכיר. סכום התשלום נקבע על-פי ההכנסה ב-24 החודשים האחרונים.</w:t>
      </w:r>
    </w:p>
    <w:p w:rsidR="001B2C7E" w:rsidP="001B2C7E" w:rsidRDefault="001B2C7E" w14:paraId="53D6621A" w14:textId="77777777">
      <w:pPr>
        <w:pStyle w:val="Hesber"/>
        <w:rPr>
          <w:rtl/>
        </w:rPr>
      </w:pPr>
      <w:r>
        <w:rPr>
          <w:rtl/>
        </w:rPr>
        <w:t>לוקסמבורג- מתן דמי אבטלה לעצמאי מותנה בכך שסגר את העסק שלו והוא מחפש עבודה כשכיר.</w:t>
      </w:r>
    </w:p>
    <w:p w:rsidR="001B2C7E" w:rsidP="001B2C7E" w:rsidRDefault="001B2C7E" w14:paraId="627E52B0" w14:textId="77777777">
      <w:pPr>
        <w:pStyle w:val="Hesber"/>
        <w:rPr>
          <w:rtl/>
        </w:rPr>
      </w:pPr>
      <w:r>
        <w:rPr>
          <w:rtl/>
        </w:rPr>
        <w:t>התשלום לעצמאי הינו קבוע (לשכיר הוא נקבע בהתאם לשכרו קודם לאבטלה).</w:t>
      </w:r>
    </w:p>
    <w:p w:rsidR="005E04B0" w:rsidP="005E04B0" w:rsidRDefault="001B2C7E" w14:paraId="1CC223EC" w14:textId="77777777">
      <w:pPr>
        <w:pStyle w:val="Hesber"/>
        <w:rPr>
          <w:rtl/>
        </w:rPr>
      </w:pPr>
      <w:r>
        <w:rPr>
          <w:rtl/>
        </w:rPr>
        <w:t xml:space="preserve">הצעות חוק דומות בעיקרן הונחו על שולחן הכנסת השבע-עשרה על ידי חבר הכנסת דוד טל (פ/357/17), ועל ידי חברת הכנסת אורית נוקד (פ/1774/17); על שולחן הכנסת השמונה-עשרה על ידי חבר הכנסת אילן גילאון וקבוצת חברי הכנסת (פ/1165/18; הוסרה מסדר היום ביום י"ז בתמוז התשס"ט (9 </w:t>
      </w:r>
      <w:r>
        <w:rPr>
          <w:rtl/>
        </w:rPr>
        <w:lastRenderedPageBreak/>
        <w:t>ביולי 2009)); על שולחן הכנסת התשע-עשרה על ידי חבר הכנסת אילן גילאון (פ/75/19) ועל ידי חבר הכנסת אילן גילאון וקבוצת חברי הכנסת (פ/1992/19); על שולחן הכנסת העשרים  על ידי  חברי הכנסת אלי כהן ורועי פולקמן (פ/666/20), על ידי חבר הכנסת מיקי לוי (פ/670/20), על ידי חבר הכנסת אילן גלאון וקבוצת חברי הכנסת (פ/1221/20), על ידי חבר הכנסת אראל מרגלית וקבוצת חברי הכנסת (פ/1306/20), על ידי חבר הכנסת מאיר כהן (פ/4635/20; הוסרה מסדר היום ביום א' בשבט התשע"ח (17 בינואר 2018)) ועל ידי חבר הכנסת מאיר כהן וקבוצת חברי הכנסת (פ/4841/20); על שולחן הכנסת העשרים ואחת על ידי חבר הכנסת מאיר כהן (פ/26/21); על שולחן הכנסת העשרים ושתיים על ידי חבר הכנסת איציק שמולי (פ/865/22); ועל שולחן הכנסת העשרים ושלוש על ידי חבר הכנסת איציק שמולי (פ/537/23), על ידי חברת הכנסת אורלי לוי אבקסיס (פנימי פ/675/23) על ידי חבר הכנסת מיקי לוי (פ/678/23; פ/681/23), על ידי חברי כנסת מאיר כהן ויאיר לפיד (פ/680/23), על ידי חבר הכנסת דסטה גדי יברקן (פ/682/23) ועל ידי חבר הכנסת עודד פורר (פ/683/23).</w:t>
      </w:r>
      <w:r>
        <w:rPr>
          <w:rFonts w:hint="cs"/>
          <w:rtl/>
        </w:rPr>
        <w:t xml:space="preserve"> </w:t>
      </w:r>
    </w:p>
    <w:p w:rsidR="005E04B0" w:rsidP="003F6F07" w:rsidRDefault="005E04B0" w14:paraId="7C404968" w14:textId="185401F7">
      <w:pPr>
        <w:pStyle w:val="Hesber"/>
        <w:rPr>
          <w:rtl/>
        </w:rPr>
      </w:pPr>
      <w:r>
        <w:rPr>
          <w:rFonts w:hint="cs"/>
          <w:rtl/>
        </w:rPr>
        <w:t xml:space="preserve">הצעת חוק זהה הונחה על שולחן הכנסת העשרים ושלוש </w:t>
      </w:r>
      <w:r w:rsidR="001B2C7E">
        <w:rPr>
          <w:rFonts w:hint="cs"/>
          <w:rtl/>
        </w:rPr>
        <w:t xml:space="preserve">על ידי חברי הכנסת גדעון סער ואתי חוה עטיה </w:t>
      </w:r>
      <w:r w:rsidRPr="00CF7400" w:rsidR="00CF7400">
        <w:rPr>
          <w:rtl/>
        </w:rPr>
        <w:t>(פ/715/23)</w:t>
      </w:r>
      <w:r>
        <w:rPr>
          <w:rFonts w:hint="cs"/>
          <w:rtl/>
        </w:rPr>
        <w:t>.</w:t>
      </w:r>
      <w:r w:rsidR="003F6F07">
        <w:rPr>
          <w:rFonts w:hint="cs"/>
          <w:rtl/>
        </w:rPr>
        <w:t xml:space="preserve"> </w:t>
      </w:r>
      <w:bookmarkStart w:name="_GoBack" w:id="8"/>
      <w:bookmarkEnd w:id="8"/>
      <w:r w:rsidR="003F6F07">
        <w:rPr>
          <w:rFonts w:hint="cs"/>
          <w:rtl/>
        </w:rPr>
        <w:t>הצעת</w:t>
      </w:r>
      <w:r>
        <w:rPr>
          <w:rFonts w:hint="cs"/>
          <w:rtl/>
        </w:rPr>
        <w:t xml:space="preserve"> </w:t>
      </w:r>
      <w:r w:rsidR="003F6F07">
        <w:rPr>
          <w:rFonts w:hint="cs"/>
          <w:rtl/>
        </w:rPr>
        <w:t xml:space="preserve">החוק </w:t>
      </w:r>
      <w:r>
        <w:rPr>
          <w:rFonts w:hint="cs"/>
          <w:rtl/>
        </w:rPr>
        <w:t xml:space="preserve">זהה לפ/715/23 </w:t>
      </w:r>
      <w:r w:rsidR="003F6F07">
        <w:rPr>
          <w:rFonts w:hint="cs"/>
          <w:rtl/>
        </w:rPr>
        <w:t xml:space="preserve">ולפיכך </w:t>
      </w:r>
      <w:r>
        <w:rPr>
          <w:rFonts w:hint="cs"/>
          <w:rtl/>
        </w:rPr>
        <w:t xml:space="preserve">לא נבדקה מחדש על ידי הלשכה המשפטית של הכנסת. </w:t>
      </w: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005E04B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F6F07">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28A32C3" w14:textId="77777777" w:rsidR="001B2C7E" w:rsidRDefault="001B2C7E" w:rsidP="001B2C7E">
      <w:pPr>
        <w:pStyle w:val="a4"/>
      </w:pPr>
      <w:r>
        <w:rPr>
          <w:rStyle w:val="a6"/>
        </w:rPr>
        <w:footnoteRef/>
      </w:r>
      <w:r>
        <w:rPr>
          <w:rFonts w:hint="cs"/>
          <w:rtl/>
        </w:rPr>
        <w:t xml:space="preserve"> </w:t>
      </w:r>
      <w:r>
        <w:rPr>
          <w:rtl/>
        </w:rPr>
        <w:t>ס"ח התשנ"ה, עמ' 210</w:t>
      </w:r>
      <w:r>
        <w:rPr>
          <w:rFonts w:hint="cs"/>
          <w:rtl/>
        </w:rPr>
        <w:t xml:space="preserve">. </w:t>
      </w:r>
    </w:p>
  </w:footnote>
  <w:footnote w:id="3">
    <w:p w14:paraId="6ACA4033" w14:textId="77777777" w:rsidR="001B2C7E" w:rsidRDefault="001B2C7E" w:rsidP="001B2C7E">
      <w:pPr>
        <w:pStyle w:val="a4"/>
      </w:pPr>
      <w:r>
        <w:rPr>
          <w:rStyle w:val="a6"/>
        </w:rPr>
        <w:footnoteRef/>
      </w:r>
      <w:r>
        <w:rPr>
          <w:rtl/>
        </w:rPr>
        <w:t xml:space="preserve"> </w:t>
      </w:r>
      <w:r>
        <w:rPr>
          <w:rFonts w:hint="cs"/>
          <w:rtl/>
        </w:rPr>
        <w:t>דיני מדינת ישראל, נוסח חדש 6,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2C7E"/>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F6F07"/>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E04B0"/>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CF7400"/>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2CECE70-8818-4049-A590-7A75BDED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B2C7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453699A2-EFEF-4C20-8D54-A1DBE5F61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8CDFAD-282E-47A6-8AE4-8B09F1AF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1062</Words>
  <Characters>5311</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2013-07-04T08:25:00Z</cp:lastPrinted>
  <dcterms:created xsi:type="dcterms:W3CDTF">2015-04-20T09:58:00Z</dcterms:created>
  <dcterms:modified xsi:type="dcterms:W3CDTF">2021-04-20T10:26:00Z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2156423</vt:r8>
  </property>
</Properties>
</file>