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191349B9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1" w:name="LGSName"/>
      <w:r>
        <w:rPr>
          <w:rStyle w:val="HeadHatzaotHok0"/>
          <w:rFonts w:hint="cs"/>
          <w:rtl/>
        </w:rPr>
        <w:t>חוק העונשין (תיקון מס' 141), התשפ"ב–2022</w:t>
      </w:r>
      <w:bookmarkEnd w:id="1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02D847D9" w14:textId="77777777" w:rsidR="00AF2AC4" w:rsidRDefault="00AF2AC4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AF2AC4" w:rsidRPr="00701EDA" w14:paraId="68CC5DDD" w14:textId="77777777" w:rsidTr="00AF2AC4">
        <w:trPr>
          <w:cantSplit/>
        </w:trPr>
        <w:tc>
          <w:tcPr>
            <w:tcW w:w="1871" w:type="dxa"/>
          </w:tcPr>
          <w:p w14:paraId="749E53AB" w14:textId="77777777" w:rsidR="00AF2AC4" w:rsidRPr="005946C3" w:rsidRDefault="00AF2AC4" w:rsidP="00AF2AC4">
            <w:pPr>
              <w:pStyle w:val="TableSideHeading"/>
              <w:outlineLvl w:val="9"/>
              <w:rPr>
                <w:rtl/>
              </w:rPr>
            </w:pPr>
            <w:r w:rsidRPr="005946C3">
              <w:rPr>
                <w:rtl/>
              </w:rPr>
              <w:t>תיקון סעיף 2</w:t>
            </w:r>
          </w:p>
        </w:tc>
        <w:tc>
          <w:tcPr>
            <w:tcW w:w="624" w:type="dxa"/>
          </w:tcPr>
          <w:p w14:paraId="78FCCB84" w14:textId="77777777" w:rsidR="00AF2AC4" w:rsidRPr="005946C3" w:rsidRDefault="00AF2AC4" w:rsidP="00AF2AC4">
            <w:pPr>
              <w:pStyle w:val="TableText"/>
              <w:jc w:val="both"/>
              <w:rPr>
                <w:rtl/>
              </w:rPr>
            </w:pPr>
            <w:r w:rsidRPr="005946C3">
              <w:rPr>
                <w:rtl/>
              </w:rPr>
              <w:t>1.</w:t>
            </w:r>
          </w:p>
        </w:tc>
        <w:tc>
          <w:tcPr>
            <w:tcW w:w="7143" w:type="dxa"/>
          </w:tcPr>
          <w:p w14:paraId="151885A9" w14:textId="77777777" w:rsidR="00AF2AC4" w:rsidRPr="005946C3" w:rsidRDefault="00AF2AC4" w:rsidP="00AF2AC4">
            <w:pPr>
              <w:pStyle w:val="TableBlock"/>
              <w:rPr>
                <w:rtl/>
              </w:rPr>
            </w:pPr>
            <w:r w:rsidRPr="005946C3">
              <w:rPr>
                <w:rtl/>
              </w:rPr>
              <w:t>בחוק העונשין, התשל"ז</w:t>
            </w:r>
            <w:r>
              <w:rPr>
                <w:rtl/>
              </w:rPr>
              <w:t>–</w:t>
            </w:r>
            <w:r w:rsidRPr="005946C3">
              <w:rPr>
                <w:rtl/>
              </w:rPr>
              <w:t>1977</w:t>
            </w:r>
            <w:r w:rsidRPr="00AF2AC4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5946C3">
              <w:rPr>
                <w:rtl/>
              </w:rPr>
              <w:t xml:space="preserve"> (להלן </w:t>
            </w:r>
            <w:r>
              <w:rPr>
                <w:rtl/>
              </w:rPr>
              <w:t>–</w:t>
            </w:r>
            <w:r w:rsidRPr="005946C3">
              <w:rPr>
                <w:rtl/>
              </w:rPr>
              <w:t xml:space="preserve"> החוק העיקרי), בסעיף 2(ב), אחרי "עבירות ועונשים" יבוא "למעט חוקי עזר של רשות מקומית".</w:t>
            </w:r>
          </w:p>
        </w:tc>
      </w:tr>
      <w:tr w:rsidR="00AF2AC4" w:rsidRPr="00701EDA" w14:paraId="4C262947" w14:textId="77777777" w:rsidTr="00AF2AC4">
        <w:trPr>
          <w:cantSplit/>
        </w:trPr>
        <w:tc>
          <w:tcPr>
            <w:tcW w:w="1871" w:type="dxa"/>
          </w:tcPr>
          <w:p w14:paraId="0339CD57" w14:textId="77777777" w:rsidR="00AF2AC4" w:rsidRPr="005946C3" w:rsidRDefault="00AF2AC4" w:rsidP="00AF2AC4">
            <w:pPr>
              <w:pStyle w:val="TableSideHeading"/>
              <w:outlineLvl w:val="9"/>
              <w:rPr>
                <w:rtl/>
              </w:rPr>
            </w:pPr>
            <w:r>
              <w:rPr>
                <w:rFonts w:hint="cs"/>
                <w:rtl/>
              </w:rPr>
              <w:t>הוראות מעבר</w:t>
            </w:r>
          </w:p>
        </w:tc>
        <w:tc>
          <w:tcPr>
            <w:tcW w:w="624" w:type="dxa"/>
          </w:tcPr>
          <w:p w14:paraId="5B874537" w14:textId="77777777" w:rsidR="00AF2AC4" w:rsidRPr="005946C3" w:rsidRDefault="00AF2AC4" w:rsidP="00AF2AC4">
            <w:pPr>
              <w:pStyle w:val="TableText"/>
              <w:jc w:val="both"/>
              <w:rPr>
                <w:rtl/>
              </w:rPr>
            </w:pPr>
            <w:r w:rsidRPr="005946C3">
              <w:rPr>
                <w:rtl/>
              </w:rPr>
              <w:t>2.</w:t>
            </w:r>
            <w:r w:rsidRPr="005946C3">
              <w:rPr>
                <w:rtl/>
              </w:rPr>
              <w:tab/>
            </w:r>
          </w:p>
        </w:tc>
        <w:tc>
          <w:tcPr>
            <w:tcW w:w="7143" w:type="dxa"/>
          </w:tcPr>
          <w:p w14:paraId="6F773B2D" w14:textId="77777777" w:rsidR="00AF2AC4" w:rsidRPr="005946C3" w:rsidRDefault="00AF2AC4" w:rsidP="00AF2AC4">
            <w:pPr>
              <w:pStyle w:val="TableBlock"/>
              <w:rPr>
                <w:rtl/>
              </w:rPr>
            </w:pPr>
            <w:r w:rsidRPr="005946C3">
              <w:rPr>
                <w:rtl/>
              </w:rPr>
              <w:t>חוק עזר שבו נקבעו עבירות ועונשים, שהותקן בידי רשות מקומית בתקופה שמיום תחילתו של חוק העונשין (תיקון מס' 39) (חלק מקדמי וחלק כללי), התשנ"ד</w:t>
            </w:r>
            <w:r>
              <w:rPr>
                <w:rtl/>
              </w:rPr>
              <w:t>–</w:t>
            </w:r>
            <w:r w:rsidRPr="005946C3">
              <w:rPr>
                <w:rtl/>
              </w:rPr>
              <w:t>1994</w:t>
            </w:r>
            <w:r w:rsidRPr="00AF2AC4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5946C3">
              <w:rPr>
                <w:rtl/>
              </w:rPr>
              <w:t xml:space="preserve">, עד ערב תחילתו של חוק זה, רואים אותו כאילו הותקן כדין </w:t>
            </w:r>
            <w:r>
              <w:rPr>
                <w:rFonts w:hint="cs"/>
                <w:rtl/>
              </w:rPr>
              <w:t>לעניין</w:t>
            </w:r>
            <w:r w:rsidRPr="005946C3">
              <w:rPr>
                <w:rtl/>
              </w:rPr>
              <w:t xml:space="preserve"> סעיף 2(ב) לחוק העיקרי כנוסחו ערב תחילתו של חוק זה.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PrimeMinistryName"/>
            <w:r>
              <w:rPr>
                <w:rFonts w:hint="cs"/>
                <w:sz w:val="26"/>
                <w:szCs w:val="26"/>
                <w:rtl/>
              </w:rPr>
              <w:t>נפתלי בנט</w:t>
            </w:r>
            <w:bookmarkEnd w:id="8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31EB9392" w:rsidR="008525E2" w:rsidRPr="00D466D4" w:rsidRDefault="0031167B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גדעון סער</w:t>
            </w:r>
          </w:p>
          <w:p w14:paraId="11F1CEB8" w14:textId="559AC648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AF2AC4">
              <w:rPr>
                <w:rFonts w:hint="cs"/>
                <w:sz w:val="26"/>
                <w:szCs w:val="26"/>
                <w:rtl/>
              </w:rPr>
              <w:t>משפטים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HeadKnessetName"/>
            <w:r>
              <w:rPr>
                <w:rFonts w:hint="cs"/>
                <w:sz w:val="26"/>
                <w:szCs w:val="26"/>
                <w:rtl/>
              </w:rPr>
              <w:t>מיקי לוי</w:t>
            </w:r>
            <w:bookmarkEnd w:id="9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AF2AC4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C31D" w14:textId="77777777" w:rsidR="00DD65EA" w:rsidRDefault="00DD65EA" w:rsidP="00AF2AC4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03965636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2" w:name="LGSVote3Date"/>
      <w:r>
        <w:rPr>
          <w:rFonts w:hint="cs"/>
          <w:rtl/>
        </w:rPr>
        <w:t>ז' באדר ב' התשפ"ב (10 במרס 2022)</w:t>
      </w:r>
      <w:bookmarkEnd w:id="2"/>
      <w:r w:rsidR="0031167B">
        <w:rPr>
          <w:rFonts w:hint="cs"/>
          <w:rtl/>
        </w:rPr>
        <w:t xml:space="preserve"> [בישיבה שהחלה ביום ו' באדר ב' התשפ"ב (9 במרס 2022)]</w:t>
      </w:r>
      <w:r>
        <w:rPr>
          <w:rFonts w:hint="cs"/>
          <w:rtl/>
        </w:rPr>
        <w:t xml:space="preserve">; הצעת החוק ודברי הסבר פורסמו בהצעות חוק </w:t>
      </w:r>
      <w:bookmarkStart w:id="3" w:name="LGSType"/>
      <w:r>
        <w:rPr>
          <w:rFonts w:hint="cs"/>
          <w:rtl/>
        </w:rPr>
        <w:t>הממשלה</w:t>
      </w:r>
      <w:bookmarkEnd w:id="3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4" w:name="LGSNum"/>
      <w:r>
        <w:rPr>
          <w:rFonts w:hint="cs"/>
          <w:rtl/>
        </w:rPr>
        <w:t>1431</w:t>
      </w:r>
      <w:bookmarkEnd w:id="4"/>
      <w:r>
        <w:rPr>
          <w:rFonts w:hint="eastAsia"/>
          <w:rtl/>
        </w:rPr>
        <w:t xml:space="preserve">, מיום </w:t>
      </w:r>
      <w:bookmarkStart w:id="5" w:name="HebDate"/>
      <w:r>
        <w:rPr>
          <w:rFonts w:hint="cs"/>
          <w:rtl/>
        </w:rPr>
        <w:t>י' באב התשפ"א</w:t>
      </w:r>
      <w:bookmarkEnd w:id="5"/>
      <w:r w:rsidRPr="00827E61">
        <w:rPr>
          <w:rFonts w:hint="cs"/>
          <w:rtl/>
        </w:rPr>
        <w:t xml:space="preserve"> (</w:t>
      </w:r>
      <w:bookmarkStart w:id="6" w:name="EngDate"/>
      <w:r>
        <w:rPr>
          <w:rFonts w:hint="cs"/>
          <w:rtl/>
        </w:rPr>
        <w:t>19 ביולי 2021</w:t>
      </w:r>
      <w:bookmarkEnd w:id="6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7" w:name="PageNumFirstCall"/>
      <w:r>
        <w:rPr>
          <w:rFonts w:hint="cs"/>
          <w:rtl/>
        </w:rPr>
        <w:t>582</w:t>
      </w:r>
      <w:bookmarkEnd w:id="7"/>
      <w:r w:rsidR="0031473A">
        <w:t>.</w:t>
      </w:r>
    </w:p>
  </w:footnote>
  <w:footnote w:id="2">
    <w:p w14:paraId="6F0A736A" w14:textId="77777777" w:rsidR="00AF2AC4" w:rsidRDefault="00AF2AC4" w:rsidP="00AF2AC4">
      <w:pPr>
        <w:pStyle w:val="a9"/>
      </w:pPr>
      <w:r>
        <w:rPr>
          <w:rStyle w:val="a8"/>
        </w:rPr>
        <w:footnoteRef/>
      </w:r>
      <w:r>
        <w:rPr>
          <w:rtl/>
        </w:rPr>
        <w:t xml:space="preserve"> ס"ח התשל"ז, עמ' 226; </w:t>
      </w:r>
      <w:r>
        <w:rPr>
          <w:rFonts w:hint="cs"/>
          <w:rtl/>
        </w:rPr>
        <w:t>התשפ"ב</w:t>
      </w:r>
      <w:r>
        <w:rPr>
          <w:rtl/>
        </w:rPr>
        <w:t xml:space="preserve">, עמ' </w:t>
      </w:r>
      <w:r>
        <w:rPr>
          <w:rFonts w:hint="cs"/>
          <w:rtl/>
        </w:rPr>
        <w:t>472.</w:t>
      </w:r>
    </w:p>
  </w:footnote>
  <w:footnote w:id="3">
    <w:p w14:paraId="7EFA958D" w14:textId="77777777" w:rsidR="00AF2AC4" w:rsidRDefault="00AF2AC4" w:rsidP="00AF2AC4">
      <w:pPr>
        <w:pStyle w:val="a9"/>
      </w:pPr>
      <w:r>
        <w:rPr>
          <w:rStyle w:val="a8"/>
        </w:rPr>
        <w:footnoteRef/>
      </w:r>
      <w:r>
        <w:rPr>
          <w:rtl/>
        </w:rPr>
        <w:t xml:space="preserve"> ס"ח התשנ"ד, עמ' 348.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167B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615A9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AF2AC4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C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2AC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F2AC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F2AC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F2AC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F2AC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AF2AC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F2AC4"/>
    <w:rPr>
      <w:sz w:val="36"/>
      <w:szCs w:val="52"/>
    </w:rPr>
  </w:style>
  <w:style w:type="paragraph" w:customStyle="1" w:styleId="Cover3-Haknesset">
    <w:name w:val="Cover 3-Haknesset"/>
    <w:basedOn w:val="Cover1-Reshumot"/>
    <w:rsid w:val="00AF2AC4"/>
    <w:rPr>
      <w:b/>
      <w:bCs/>
      <w:spacing w:val="60"/>
    </w:rPr>
  </w:style>
  <w:style w:type="paragraph" w:customStyle="1" w:styleId="Cover4-Date">
    <w:name w:val="Cover 4-Date"/>
    <w:basedOn w:val="a"/>
    <w:rsid w:val="00AF2AC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AF2AC4"/>
    <w:rPr>
      <w:vertAlign w:val="superscript"/>
    </w:rPr>
  </w:style>
  <w:style w:type="paragraph" w:customStyle="1" w:styleId="Ragil">
    <w:name w:val="Ragil"/>
    <w:basedOn w:val="a"/>
    <w:rsid w:val="00AF2AC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AF2AC4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AF2AC4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AF2AC4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AF2AC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AF2AC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AF2AC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F2AC4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AF2AC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AF2AC4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AF2AC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AF2AC4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AF2AC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F2AC4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AF2AC4"/>
    <w:rPr>
      <w:color w:val="0563C1" w:themeColor="hyperlink"/>
      <w:u w:val="single"/>
    </w:rPr>
  </w:style>
  <w:style w:type="character" w:styleId="ac">
    <w:name w:val="page number"/>
    <w:basedOn w:val="a0"/>
    <w:rsid w:val="00AF2AC4"/>
  </w:style>
  <w:style w:type="paragraph" w:customStyle="1" w:styleId="TableText">
    <w:name w:val="Table Text"/>
    <w:basedOn w:val="a"/>
    <w:rsid w:val="00AF2AC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AF2AC4"/>
    <w:pPr>
      <w:jc w:val="both"/>
    </w:pPr>
  </w:style>
  <w:style w:type="paragraph" w:customStyle="1" w:styleId="TableBlockOutdent">
    <w:name w:val="Table BlockOutdent"/>
    <w:basedOn w:val="TableBlock"/>
    <w:rsid w:val="00AF2AC4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AF2AC4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AF2AC4"/>
    <w:pPr>
      <w:outlineLvl w:val="2"/>
    </w:pPr>
  </w:style>
  <w:style w:type="paragraph" w:customStyle="1" w:styleId="TableInnerSideHeading">
    <w:name w:val="Table InnerSideHeading"/>
    <w:basedOn w:val="TableSideHeading"/>
    <w:rsid w:val="00AF2AC4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AF2AC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F2AC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F2AC4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F2AC4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AF2AC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F2AC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F2AC4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AF2AC4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F2AC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F2AC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F2AC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F2AC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F2AC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F2AC4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AF2AC4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AF2AC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F2AC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F2AC4"/>
    <w:rPr>
      <w:rFonts w:eastAsia="Times New Roman"/>
    </w:rPr>
  </w:style>
  <w:style w:type="paragraph" w:styleId="af1">
    <w:name w:val="List Paragraph"/>
    <w:basedOn w:val="a"/>
    <w:uiPriority w:val="34"/>
    <w:qFormat/>
    <w:rsid w:val="00AF2AC4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AF2AC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AF2AC4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AF2AC4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AF2AC4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AF2AC4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09648f61975a4f4361a27f3e7c5755f6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c9f6f493c75b07d6a0f4a5bd18cdb9c3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  <xsd:enumeration value="757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פריט" ma:description="שם פריט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/>
</file>

<file path=customXml/itemProps2.xml><?xml version="1.0" encoding="utf-8"?>
<ds:datastoreItem xmlns:ds="http://schemas.openxmlformats.org/officeDocument/2006/customXml" ds:itemID="{C3E1657D-317C-48BB-A872-2C64BBB17B1B}"/>
</file>

<file path=customXml/itemProps3.xml><?xml version="1.0" encoding="utf-8"?>
<ds:datastoreItem xmlns:ds="http://schemas.openxmlformats.org/officeDocument/2006/customXml" ds:itemID="{9AAD3E59-1685-4866-88AE-10917921A27A}"/>
</file>

<file path=customXml/itemProps4.xml><?xml version="1.0" encoding="utf-8"?>
<ds:datastoreItem xmlns:ds="http://schemas.openxmlformats.org/officeDocument/2006/customXml" ds:itemID="{C434E707-2DB8-4183-98AA-67C7C76CA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61C571-1668-440F-858B-5E8CD174A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טליה ווייס עמר</cp:lastModifiedBy>
  <cp:revision>2</cp:revision>
  <cp:lastPrinted>2022-03-13T10:20:00Z</cp:lastPrinted>
  <dcterms:created xsi:type="dcterms:W3CDTF">2022-03-24T09:53:00Z</dcterms:created>
  <dcterms:modified xsi:type="dcterms:W3CDTF">2022-03-24T09:53:00Z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bd95b27a-b8b8-4a4d-963b-b68ec4a0346e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2160464</vt:r8>
  </property>
  <property fmtid="{D5CDD505-2E9C-101B-9397-08002B2CF9AE}" pid="22" name="SanhedrinDocumentType">
    <vt:r8>42</vt:r8>
  </property>
</Properties>
</file>