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F591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812F5B0" wp14:editId="4812F5B1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F592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4812F593" w14:textId="7B5FB0A9" w:rsidR="008525E2" w:rsidRDefault="00220CAF" w:rsidP="00CC7BAA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תכנון משק החלב (תיקון מס' 4), </w:t>
      </w:r>
      <w:proofErr w:type="spellStart"/>
      <w:r>
        <w:rPr>
          <w:rStyle w:val="HeadHatzaotHok0"/>
          <w:rFonts w:hint="cs"/>
          <w:rtl/>
        </w:rPr>
        <w:t>התשפ"א</w:t>
      </w:r>
      <w:proofErr w:type="spellEnd"/>
      <w:r w:rsidR="00CC7BAA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2021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7B70041F" w14:textId="77777777" w:rsidR="00CC7BAA" w:rsidRDefault="00CC7BAA" w:rsidP="00CC7BA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41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522"/>
      </w:tblGrid>
      <w:tr w:rsidR="00CC7BAA" w:rsidRPr="00F65892" w14:paraId="2D077561" w14:textId="77777777" w:rsidTr="00CC7BAA">
        <w:trPr>
          <w:cantSplit/>
        </w:trPr>
        <w:tc>
          <w:tcPr>
            <w:tcW w:w="1871" w:type="dxa"/>
            <w:shd w:val="clear" w:color="auto" w:fill="auto"/>
          </w:tcPr>
          <w:p w14:paraId="1F0DDF16" w14:textId="77777777" w:rsidR="00CC7BAA" w:rsidRPr="00CC7BAA" w:rsidRDefault="00CC7BAA" w:rsidP="00CC7BAA">
            <w:pPr>
              <w:pStyle w:val="TableSideHeading"/>
              <w:rPr>
                <w:rtl/>
              </w:rPr>
            </w:pPr>
            <w:r w:rsidRPr="00CC7BAA">
              <w:rPr>
                <w:rFonts w:hint="eastAsia"/>
                <w:rtl/>
              </w:rPr>
              <w:t>תיקון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סעיף</w:t>
            </w:r>
            <w:r w:rsidRPr="00CC7BAA">
              <w:rPr>
                <w:rtl/>
              </w:rPr>
              <w:t xml:space="preserve"> 44</w:t>
            </w:r>
          </w:p>
        </w:tc>
        <w:tc>
          <w:tcPr>
            <w:tcW w:w="624" w:type="dxa"/>
            <w:shd w:val="clear" w:color="auto" w:fill="auto"/>
          </w:tcPr>
          <w:p w14:paraId="72341187" w14:textId="77777777" w:rsidR="00CC7BAA" w:rsidRPr="00CC7BAA" w:rsidRDefault="00CC7BAA" w:rsidP="00CC7BAA">
            <w:pPr>
              <w:pStyle w:val="TableText"/>
              <w:rPr>
                <w:rtl/>
              </w:rPr>
            </w:pPr>
            <w:r w:rsidRPr="00CC7BAA">
              <w:rPr>
                <w:rtl/>
              </w:rPr>
              <w:t>1.</w:t>
            </w:r>
            <w:r w:rsidRPr="00CC7BAA">
              <w:rPr>
                <w:rtl/>
              </w:rPr>
              <w:tab/>
            </w:r>
          </w:p>
        </w:tc>
        <w:tc>
          <w:tcPr>
            <w:tcW w:w="7146" w:type="dxa"/>
            <w:gridSpan w:val="2"/>
            <w:shd w:val="clear" w:color="auto" w:fill="auto"/>
          </w:tcPr>
          <w:p w14:paraId="529158C6" w14:textId="77777777" w:rsidR="00CC7BAA" w:rsidRPr="00CC7BAA" w:rsidRDefault="00CC7BAA" w:rsidP="00CC7BAA">
            <w:pPr>
              <w:pStyle w:val="TableBlock"/>
              <w:rPr>
                <w:rtl/>
              </w:rPr>
            </w:pPr>
            <w:r w:rsidRPr="00CC7BAA">
              <w:rPr>
                <w:rFonts w:hint="eastAsia"/>
                <w:rtl/>
              </w:rPr>
              <w:t>בחוק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תכנון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משק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החלב</w:t>
            </w:r>
            <w:r w:rsidRPr="00CC7BAA">
              <w:rPr>
                <w:rtl/>
              </w:rPr>
              <w:t xml:space="preserve">, </w:t>
            </w:r>
            <w:proofErr w:type="spellStart"/>
            <w:r w:rsidRPr="00CC7BAA">
              <w:rPr>
                <w:rFonts w:hint="eastAsia"/>
                <w:rtl/>
              </w:rPr>
              <w:t>התשע</w:t>
            </w:r>
            <w:r w:rsidRPr="00CC7BAA">
              <w:rPr>
                <w:rtl/>
              </w:rPr>
              <w:t>"</w:t>
            </w:r>
            <w:r w:rsidRPr="00CC7BAA">
              <w:rPr>
                <w:rFonts w:hint="eastAsia"/>
                <w:rtl/>
              </w:rPr>
              <w:t>א</w:t>
            </w:r>
            <w:proofErr w:type="spellEnd"/>
            <w:r w:rsidRPr="00CC7BAA">
              <w:rPr>
                <w:rtl/>
              </w:rPr>
              <w:t>–2011</w:t>
            </w:r>
            <w:r w:rsidRPr="00CC7BAA">
              <w:rPr>
                <w:rFonts w:hint="eastAsia"/>
                <w:rtl/>
              </w:rPr>
              <w:t>‏</w:t>
            </w:r>
            <w:r w:rsidRPr="00CC7BAA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CC7BAA">
              <w:rPr>
                <w:rFonts w:hint="cs"/>
                <w:rtl/>
              </w:rPr>
              <w:t xml:space="preserve"> (להלן </w:t>
            </w:r>
            <w:r w:rsidRPr="00CC7BAA">
              <w:rPr>
                <w:rtl/>
              </w:rPr>
              <w:t>–</w:t>
            </w:r>
            <w:r w:rsidRPr="00CC7BAA">
              <w:rPr>
                <w:rFonts w:hint="cs"/>
                <w:rtl/>
              </w:rPr>
              <w:t xml:space="preserve"> החוק העיקרי)</w:t>
            </w:r>
            <w:r w:rsidRPr="00CC7BAA">
              <w:rPr>
                <w:rtl/>
              </w:rPr>
              <w:t xml:space="preserve">, </w:t>
            </w:r>
            <w:r w:rsidRPr="00CC7BAA">
              <w:rPr>
                <w:rFonts w:hint="eastAsia"/>
                <w:rtl/>
              </w:rPr>
              <w:t>בסעיף</w:t>
            </w:r>
            <w:r w:rsidRPr="00CC7BAA">
              <w:rPr>
                <w:rtl/>
              </w:rPr>
              <w:t xml:space="preserve"> 44 – </w:t>
            </w:r>
          </w:p>
        </w:tc>
      </w:tr>
      <w:tr w:rsidR="00CC7BAA" w:rsidRPr="00F65892" w14:paraId="13CE0635" w14:textId="77777777" w:rsidTr="00CC7BAA">
        <w:trPr>
          <w:cantSplit/>
        </w:trPr>
        <w:tc>
          <w:tcPr>
            <w:tcW w:w="1871" w:type="dxa"/>
            <w:shd w:val="clear" w:color="auto" w:fill="auto"/>
          </w:tcPr>
          <w:p w14:paraId="122ECEBA" w14:textId="77777777" w:rsidR="00CC7BAA" w:rsidRPr="00CC7BAA" w:rsidRDefault="00CC7BAA" w:rsidP="00CC7BAA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8BD69CC" w14:textId="77777777" w:rsidR="00CC7BAA" w:rsidRPr="00CC7BAA" w:rsidRDefault="00CC7BAA" w:rsidP="00CC7BAA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2"/>
            <w:shd w:val="clear" w:color="auto" w:fill="auto"/>
          </w:tcPr>
          <w:p w14:paraId="059081BE" w14:textId="77777777" w:rsidR="00CC7BAA" w:rsidRPr="00CC7BAA" w:rsidRDefault="00CC7BAA" w:rsidP="00CC7BAA">
            <w:pPr>
              <w:pStyle w:val="TableBlock"/>
              <w:rPr>
                <w:rtl/>
              </w:rPr>
            </w:pPr>
            <w:r w:rsidRPr="00CC7BAA">
              <w:rPr>
                <w:rtl/>
              </w:rPr>
              <w:t>(1)</w:t>
            </w:r>
            <w:r w:rsidRPr="00CC7BAA">
              <w:rPr>
                <w:rtl/>
              </w:rPr>
              <w:tab/>
            </w:r>
            <w:r w:rsidRPr="00CC7BAA">
              <w:rPr>
                <w:rFonts w:hint="eastAsia"/>
                <w:rtl/>
              </w:rPr>
              <w:t>בסעיף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קטן</w:t>
            </w:r>
            <w:r w:rsidRPr="00CC7BAA">
              <w:rPr>
                <w:rtl/>
              </w:rPr>
              <w:t xml:space="preserve"> (</w:t>
            </w:r>
            <w:r w:rsidRPr="00CC7BAA">
              <w:rPr>
                <w:rFonts w:hint="eastAsia"/>
                <w:rtl/>
              </w:rPr>
              <w:t>א</w:t>
            </w:r>
            <w:r w:rsidRPr="00CC7BAA">
              <w:rPr>
                <w:rtl/>
              </w:rPr>
              <w:t xml:space="preserve">), </w:t>
            </w:r>
            <w:r w:rsidRPr="00CC7BAA">
              <w:rPr>
                <w:rFonts w:hint="eastAsia"/>
                <w:rtl/>
              </w:rPr>
              <w:t>במקום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cs"/>
                <w:rtl/>
              </w:rPr>
              <w:t>התאריך הנקוב בו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יבוא</w:t>
            </w:r>
            <w:r w:rsidRPr="00CC7BAA">
              <w:rPr>
                <w:rtl/>
              </w:rPr>
              <w:t xml:space="preserve"> "</w:t>
            </w:r>
            <w:r w:rsidRPr="00CC7BAA">
              <w:rPr>
                <w:rFonts w:hint="eastAsia"/>
                <w:rtl/>
              </w:rPr>
              <w:t>י</w:t>
            </w:r>
            <w:r w:rsidRPr="00CC7BAA">
              <w:rPr>
                <w:rtl/>
              </w:rPr>
              <w:t>"</w:t>
            </w:r>
            <w:r w:rsidRPr="00CC7BAA">
              <w:rPr>
                <w:rFonts w:hint="eastAsia"/>
                <w:rtl/>
              </w:rPr>
              <w:t>ט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בטבת</w:t>
            </w:r>
            <w:r w:rsidRPr="00CC7BAA">
              <w:rPr>
                <w:rtl/>
              </w:rPr>
              <w:t xml:space="preserve"> </w:t>
            </w:r>
            <w:proofErr w:type="spellStart"/>
            <w:r w:rsidRPr="00CC7BAA">
              <w:rPr>
                <w:rFonts w:hint="eastAsia"/>
                <w:rtl/>
              </w:rPr>
              <w:t>התשפ״ד</w:t>
            </w:r>
            <w:proofErr w:type="spellEnd"/>
            <w:r w:rsidRPr="00CC7BAA">
              <w:rPr>
                <w:rtl/>
              </w:rPr>
              <w:t xml:space="preserve"> (31 </w:t>
            </w:r>
            <w:r w:rsidRPr="00CC7BAA">
              <w:rPr>
                <w:rFonts w:hint="eastAsia"/>
                <w:rtl/>
              </w:rPr>
              <w:t>בדצמבר</w:t>
            </w:r>
            <w:r w:rsidRPr="00CC7BAA">
              <w:rPr>
                <w:rtl/>
              </w:rPr>
              <w:t xml:space="preserve"> 2023)";</w:t>
            </w:r>
          </w:p>
        </w:tc>
      </w:tr>
      <w:tr w:rsidR="00CC7BAA" w:rsidRPr="00F65892" w14:paraId="7DB78BF5" w14:textId="77777777" w:rsidTr="00CC7BAA">
        <w:trPr>
          <w:cantSplit/>
        </w:trPr>
        <w:tc>
          <w:tcPr>
            <w:tcW w:w="1871" w:type="dxa"/>
            <w:shd w:val="clear" w:color="auto" w:fill="auto"/>
          </w:tcPr>
          <w:p w14:paraId="61D0CADC" w14:textId="77777777" w:rsidR="00CC7BAA" w:rsidRPr="00CC7BAA" w:rsidRDefault="00CC7BAA" w:rsidP="00CC7BAA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2034F30" w14:textId="77777777" w:rsidR="00CC7BAA" w:rsidRPr="00CC7BAA" w:rsidRDefault="00CC7BAA" w:rsidP="00CC7BAA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2"/>
            <w:shd w:val="clear" w:color="auto" w:fill="auto"/>
          </w:tcPr>
          <w:p w14:paraId="7401A22D" w14:textId="77777777" w:rsidR="00CC7BAA" w:rsidRPr="00CC7BAA" w:rsidRDefault="00CC7BAA" w:rsidP="00CC7BAA">
            <w:pPr>
              <w:pStyle w:val="TableBlock"/>
              <w:rPr>
                <w:rtl/>
              </w:rPr>
            </w:pPr>
            <w:r w:rsidRPr="00CC7BAA">
              <w:rPr>
                <w:rtl/>
              </w:rPr>
              <w:t>(2)</w:t>
            </w:r>
            <w:r w:rsidRPr="00CC7BAA">
              <w:rPr>
                <w:rtl/>
              </w:rPr>
              <w:tab/>
            </w:r>
            <w:r w:rsidRPr="00CC7BAA">
              <w:rPr>
                <w:rFonts w:hint="eastAsia"/>
                <w:rtl/>
              </w:rPr>
              <w:t>בסעיף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קטן</w:t>
            </w:r>
            <w:r w:rsidRPr="00CC7BAA">
              <w:rPr>
                <w:rtl/>
              </w:rPr>
              <w:t xml:space="preserve"> (</w:t>
            </w:r>
            <w:r w:rsidRPr="00CC7BAA">
              <w:rPr>
                <w:rFonts w:hint="eastAsia"/>
                <w:rtl/>
              </w:rPr>
              <w:t>א</w:t>
            </w:r>
            <w:r w:rsidRPr="00CC7BAA">
              <w:rPr>
                <w:rtl/>
              </w:rPr>
              <w:t xml:space="preserve">1), </w:t>
            </w:r>
            <w:r w:rsidRPr="00CC7BAA">
              <w:rPr>
                <w:rFonts w:hint="eastAsia"/>
                <w:rtl/>
              </w:rPr>
              <w:t>במקום</w:t>
            </w:r>
            <w:r w:rsidRPr="00CC7BAA">
              <w:rPr>
                <w:rtl/>
              </w:rPr>
              <w:t xml:space="preserve"> "</w:t>
            </w:r>
            <w:r w:rsidRPr="00CC7BAA">
              <w:rPr>
                <w:rFonts w:hint="eastAsia"/>
                <w:rtl/>
              </w:rPr>
              <w:t>עד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יום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כ</w:t>
            </w:r>
            <w:r w:rsidRPr="00CC7BAA">
              <w:rPr>
                <w:rtl/>
              </w:rPr>
              <w:t xml:space="preserve">' </w:t>
            </w:r>
            <w:r w:rsidRPr="00CC7BAA">
              <w:rPr>
                <w:rFonts w:hint="eastAsia"/>
                <w:rtl/>
              </w:rPr>
              <w:t>בתמוז</w:t>
            </w:r>
            <w:r w:rsidRPr="00CC7BAA">
              <w:rPr>
                <w:rtl/>
              </w:rPr>
              <w:t xml:space="preserve"> </w:t>
            </w:r>
            <w:proofErr w:type="spellStart"/>
            <w:r w:rsidRPr="00CC7BAA">
              <w:rPr>
                <w:rFonts w:hint="eastAsia"/>
                <w:rtl/>
              </w:rPr>
              <w:t>התשפ</w:t>
            </w:r>
            <w:r w:rsidRPr="00CC7BAA">
              <w:rPr>
                <w:rtl/>
              </w:rPr>
              <w:t>"</w:t>
            </w:r>
            <w:r w:rsidRPr="00CC7BAA">
              <w:rPr>
                <w:rFonts w:hint="eastAsia"/>
                <w:rtl/>
              </w:rPr>
              <w:t>א</w:t>
            </w:r>
            <w:proofErr w:type="spellEnd"/>
            <w:r w:rsidRPr="00CC7BAA">
              <w:rPr>
                <w:rtl/>
              </w:rPr>
              <w:t xml:space="preserve"> (30 </w:t>
            </w:r>
            <w:r w:rsidRPr="00CC7BAA">
              <w:rPr>
                <w:rFonts w:hint="eastAsia"/>
                <w:rtl/>
              </w:rPr>
              <w:t>ביוני</w:t>
            </w:r>
            <w:r w:rsidRPr="00CC7BAA">
              <w:rPr>
                <w:rtl/>
              </w:rPr>
              <w:t xml:space="preserve"> 2021)" </w:t>
            </w:r>
            <w:r w:rsidRPr="00CC7BAA">
              <w:rPr>
                <w:rFonts w:hint="eastAsia"/>
                <w:rtl/>
              </w:rPr>
              <w:t>יבוא</w:t>
            </w:r>
            <w:r w:rsidRPr="00CC7BAA">
              <w:rPr>
                <w:rtl/>
              </w:rPr>
              <w:t xml:space="preserve"> "</w:t>
            </w:r>
            <w:r w:rsidRPr="00CC7BAA">
              <w:rPr>
                <w:rFonts w:hint="eastAsia"/>
                <w:rtl/>
              </w:rPr>
              <w:t>עד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יום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י</w:t>
            </w:r>
            <w:r w:rsidRPr="00CC7BAA">
              <w:rPr>
                <w:rtl/>
              </w:rPr>
              <w:t>"</w:t>
            </w:r>
            <w:r w:rsidRPr="00CC7BAA">
              <w:rPr>
                <w:rFonts w:hint="eastAsia"/>
                <w:rtl/>
              </w:rPr>
              <w:t>א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בטבת</w:t>
            </w:r>
            <w:r w:rsidRPr="00CC7BAA">
              <w:rPr>
                <w:rtl/>
              </w:rPr>
              <w:t xml:space="preserve"> </w:t>
            </w:r>
            <w:proofErr w:type="spellStart"/>
            <w:r w:rsidRPr="00CC7BAA">
              <w:rPr>
                <w:rFonts w:hint="eastAsia"/>
                <w:rtl/>
              </w:rPr>
              <w:t>התשפ</w:t>
            </w:r>
            <w:r w:rsidRPr="00CC7BAA">
              <w:rPr>
                <w:rtl/>
              </w:rPr>
              <w:t>"</w:t>
            </w:r>
            <w:r w:rsidRPr="00CC7BAA">
              <w:rPr>
                <w:rFonts w:hint="eastAsia"/>
                <w:rtl/>
              </w:rPr>
              <w:t>ו</w:t>
            </w:r>
            <w:proofErr w:type="spellEnd"/>
            <w:r w:rsidRPr="00CC7BAA">
              <w:rPr>
                <w:rtl/>
              </w:rPr>
              <w:t xml:space="preserve"> (31 </w:t>
            </w:r>
            <w:r w:rsidRPr="00CC7BAA">
              <w:rPr>
                <w:rFonts w:hint="eastAsia"/>
                <w:rtl/>
              </w:rPr>
              <w:t>בדצמבר</w:t>
            </w:r>
            <w:r w:rsidRPr="00CC7BAA">
              <w:rPr>
                <w:rtl/>
              </w:rPr>
              <w:t xml:space="preserve"> 2025)";</w:t>
            </w:r>
          </w:p>
        </w:tc>
      </w:tr>
      <w:tr w:rsidR="00CC7BAA" w:rsidRPr="00F65892" w14:paraId="49BDF8EA" w14:textId="77777777" w:rsidTr="00CC7BAA">
        <w:trPr>
          <w:cantSplit/>
        </w:trPr>
        <w:tc>
          <w:tcPr>
            <w:tcW w:w="1871" w:type="dxa"/>
            <w:shd w:val="clear" w:color="auto" w:fill="auto"/>
          </w:tcPr>
          <w:p w14:paraId="058140B3" w14:textId="77777777" w:rsidR="00CC7BAA" w:rsidRPr="00CC7BAA" w:rsidRDefault="00CC7BAA" w:rsidP="00CC7BAA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4A9BCEE5" w14:textId="77777777" w:rsidR="00CC7BAA" w:rsidRPr="00CC7BAA" w:rsidRDefault="00CC7BAA" w:rsidP="00CC7BAA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2"/>
            <w:shd w:val="clear" w:color="auto" w:fill="auto"/>
          </w:tcPr>
          <w:p w14:paraId="565D060D" w14:textId="77777777" w:rsidR="00CC7BAA" w:rsidRPr="00CC7BAA" w:rsidRDefault="00CC7BAA" w:rsidP="00CC7BAA">
            <w:pPr>
              <w:pStyle w:val="TableBlock"/>
              <w:rPr>
                <w:rtl/>
              </w:rPr>
            </w:pPr>
            <w:r w:rsidRPr="00CC7BAA">
              <w:rPr>
                <w:rtl/>
              </w:rPr>
              <w:t>(3)</w:t>
            </w:r>
            <w:r w:rsidRPr="00CC7BAA">
              <w:rPr>
                <w:rtl/>
              </w:rPr>
              <w:tab/>
            </w:r>
            <w:r w:rsidRPr="00CC7BAA">
              <w:rPr>
                <w:rFonts w:hint="eastAsia"/>
                <w:rtl/>
              </w:rPr>
              <w:t>בסעיף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קטן</w:t>
            </w:r>
            <w:r w:rsidRPr="00CC7BAA">
              <w:rPr>
                <w:rtl/>
              </w:rPr>
              <w:t xml:space="preserve"> (</w:t>
            </w:r>
            <w:r w:rsidRPr="00CC7BAA">
              <w:rPr>
                <w:rFonts w:hint="eastAsia"/>
                <w:rtl/>
              </w:rPr>
              <w:t>ב</w:t>
            </w:r>
            <w:r w:rsidRPr="00CC7BAA">
              <w:rPr>
                <w:rtl/>
              </w:rPr>
              <w:t xml:space="preserve">), </w:t>
            </w:r>
            <w:r w:rsidRPr="00CC7BAA">
              <w:rPr>
                <w:rFonts w:hint="eastAsia"/>
                <w:rtl/>
              </w:rPr>
              <w:t>אחרי</w:t>
            </w:r>
            <w:r w:rsidRPr="00CC7BAA">
              <w:rPr>
                <w:rtl/>
              </w:rPr>
              <w:t xml:space="preserve"> </w:t>
            </w:r>
            <w:r w:rsidRPr="00CC7BAA">
              <w:rPr>
                <w:rFonts w:hint="eastAsia"/>
                <w:rtl/>
              </w:rPr>
              <w:t>פסקה</w:t>
            </w:r>
            <w:r w:rsidRPr="00CC7BAA">
              <w:rPr>
                <w:rtl/>
              </w:rPr>
              <w:t xml:space="preserve"> (2) </w:t>
            </w:r>
            <w:r w:rsidRPr="00CC7BAA">
              <w:rPr>
                <w:rFonts w:hint="eastAsia"/>
                <w:rtl/>
              </w:rPr>
              <w:t>יבוא</w:t>
            </w:r>
            <w:r w:rsidRPr="00CC7BAA">
              <w:rPr>
                <w:rtl/>
              </w:rPr>
              <w:t>:</w:t>
            </w:r>
          </w:p>
        </w:tc>
      </w:tr>
      <w:tr w:rsidR="00CC7BAA" w:rsidRPr="00C078FF" w14:paraId="4B54EC60" w14:textId="77777777" w:rsidTr="00CC7BA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802FAD5" w14:textId="77777777" w:rsidR="00CC7BAA" w:rsidRPr="00C078FF" w:rsidRDefault="00CC7BAA" w:rsidP="006B0F07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5D7E57" w14:textId="77777777" w:rsidR="00CC7BAA" w:rsidRPr="00C078FF" w:rsidRDefault="00CC7BAA" w:rsidP="006B0F0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EC4BBF4" w14:textId="77777777" w:rsidR="00CC7BAA" w:rsidRPr="00C078FF" w:rsidRDefault="00CC7BAA" w:rsidP="006B0F0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2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6B4C24" w14:textId="77777777" w:rsidR="00CC7BAA" w:rsidRPr="00C078FF" w:rsidRDefault="00CC7BAA" w:rsidP="00CC7BAA">
            <w:pPr>
              <w:pStyle w:val="TableBlock"/>
              <w:rPr>
                <w:sz w:val="26"/>
                <w:rtl/>
              </w:rPr>
            </w:pPr>
            <w:r w:rsidRPr="00C078FF">
              <w:rPr>
                <w:sz w:val="26"/>
                <w:rtl/>
              </w:rPr>
              <w:t>"(3)</w:t>
            </w:r>
            <w:r w:rsidRPr="00C078FF">
              <w:rPr>
                <w:rFonts w:hint="cs"/>
                <w:sz w:val="26"/>
                <w:rtl/>
              </w:rPr>
              <w:t> </w:t>
            </w:r>
            <w:r w:rsidRPr="00C078FF">
              <w:rPr>
                <w:rFonts w:hint="eastAsia"/>
                <w:sz w:val="26"/>
                <w:rtl/>
              </w:rPr>
              <w:t>על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אף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האמור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בפסקה</w:t>
            </w:r>
            <w:r w:rsidRPr="00C078FF">
              <w:rPr>
                <w:sz w:val="26"/>
                <w:rtl/>
              </w:rPr>
              <w:t xml:space="preserve"> (1), </w:t>
            </w:r>
            <w:r w:rsidRPr="00C078FF">
              <w:rPr>
                <w:rFonts w:hint="eastAsia"/>
                <w:sz w:val="26"/>
                <w:rtl/>
              </w:rPr>
              <w:t>השרים</w:t>
            </w:r>
            <w:r w:rsidRPr="00C078FF">
              <w:rPr>
                <w:sz w:val="26"/>
                <w:rtl/>
              </w:rPr>
              <w:t xml:space="preserve">, </w:t>
            </w:r>
            <w:r w:rsidRPr="00C078FF">
              <w:rPr>
                <w:rFonts w:hint="eastAsia"/>
                <w:sz w:val="26"/>
                <w:rtl/>
              </w:rPr>
              <w:t>באישור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ועדת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הכלכלה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של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הכנסת</w:t>
            </w:r>
            <w:r w:rsidRPr="00C078FF">
              <w:rPr>
                <w:sz w:val="26"/>
                <w:rtl/>
              </w:rPr>
              <w:t xml:space="preserve">, </w:t>
            </w:r>
            <w:r w:rsidRPr="00C078FF">
              <w:rPr>
                <w:rFonts w:hint="cs"/>
                <w:sz w:val="26"/>
                <w:rtl/>
              </w:rPr>
              <w:t>יקבעו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בתקנות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לפי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אותה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פסקה</w:t>
            </w:r>
            <w:r w:rsidRPr="00C078FF">
              <w:rPr>
                <w:rFonts w:hint="cs"/>
                <w:sz w:val="26"/>
                <w:rtl/>
              </w:rPr>
              <w:t xml:space="preserve"> הוראות </w:t>
            </w:r>
            <w:r w:rsidRPr="00C078FF">
              <w:rPr>
                <w:rFonts w:hint="eastAsia"/>
                <w:sz w:val="26"/>
                <w:rtl/>
              </w:rPr>
              <w:t>שאינן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לפי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נוהל</w:t>
            </w:r>
            <w:r w:rsidRPr="00C078FF">
              <w:rPr>
                <w:rFonts w:hint="cs"/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ההתחשבנות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כך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שבתקופה</w:t>
            </w:r>
            <w:r w:rsidRPr="00C078FF">
              <w:rPr>
                <w:sz w:val="26"/>
                <w:rtl/>
              </w:rPr>
              <w:t xml:space="preserve"> שעד יום י"ט בטבת </w:t>
            </w:r>
            <w:proofErr w:type="spellStart"/>
            <w:r w:rsidRPr="00C078FF">
              <w:rPr>
                <w:rFonts w:hint="eastAsia"/>
                <w:sz w:val="26"/>
                <w:rtl/>
              </w:rPr>
              <w:t>התשפ</w:t>
            </w:r>
            <w:r w:rsidRPr="00C078FF">
              <w:rPr>
                <w:sz w:val="26"/>
                <w:rtl/>
              </w:rPr>
              <w:t>"ד</w:t>
            </w:r>
            <w:proofErr w:type="spellEnd"/>
            <w:r w:rsidRPr="00C078FF">
              <w:rPr>
                <w:sz w:val="26"/>
                <w:rtl/>
              </w:rPr>
              <w:t xml:space="preserve"> (31 בדצמבר 2023) </w:t>
            </w:r>
            <w:r w:rsidRPr="00C078FF">
              <w:rPr>
                <w:rFonts w:hint="eastAsia"/>
                <w:sz w:val="26"/>
                <w:rtl/>
              </w:rPr>
              <w:t>חישוב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עלויות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ייצור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חלב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ייעשה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לפי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עלויות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הייצור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השנתיות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ברפתות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של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יצרנים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שמכסתם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היא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בהיקף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של</w:t>
            </w:r>
            <w:r w:rsidRPr="00C078FF">
              <w:rPr>
                <w:sz w:val="26"/>
                <w:rtl/>
              </w:rPr>
              <w:t xml:space="preserve"> 700 </w:t>
            </w:r>
            <w:r w:rsidRPr="00C078FF">
              <w:rPr>
                <w:rFonts w:hint="eastAsia"/>
                <w:sz w:val="26"/>
                <w:rtl/>
              </w:rPr>
              <w:t>אלף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ליטר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או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יותר</w:t>
            </w:r>
            <w:r w:rsidRPr="00C078FF">
              <w:rPr>
                <w:sz w:val="26"/>
                <w:rtl/>
              </w:rPr>
              <w:t xml:space="preserve">. </w:t>
            </w:r>
          </w:p>
        </w:tc>
      </w:tr>
      <w:tr w:rsidR="00CC7BAA" w:rsidRPr="00C078FF" w14:paraId="477EF9A2" w14:textId="77777777" w:rsidTr="00CC7BA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FCFCEA" w14:textId="77777777" w:rsidR="00CC7BAA" w:rsidRPr="00C078FF" w:rsidRDefault="00CC7BAA" w:rsidP="006B0F07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7F4EE8" w14:textId="77777777" w:rsidR="00CC7BAA" w:rsidRPr="00C078FF" w:rsidRDefault="00CC7BAA" w:rsidP="006B0F07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031970" w14:textId="77777777" w:rsidR="00CC7BAA" w:rsidRPr="00C078FF" w:rsidRDefault="00CC7BAA" w:rsidP="006B0F0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2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7F39A9B" w14:textId="77777777" w:rsidR="00CC7BAA" w:rsidRPr="00C078FF" w:rsidRDefault="00CC7BAA" w:rsidP="00CC7BAA">
            <w:pPr>
              <w:pStyle w:val="TableBlock"/>
              <w:rPr>
                <w:sz w:val="26"/>
                <w:rtl/>
              </w:rPr>
            </w:pPr>
            <w:r w:rsidRPr="00C078FF">
              <w:rPr>
                <w:rFonts w:hint="cs"/>
                <w:sz w:val="26"/>
                <w:rtl/>
              </w:rPr>
              <w:t>(4)</w:t>
            </w:r>
            <w:r w:rsidRPr="00C078FF">
              <w:rPr>
                <w:sz w:val="26"/>
                <w:rtl/>
              </w:rPr>
              <w:tab/>
            </w:r>
            <w:r w:rsidRPr="00C078FF">
              <w:rPr>
                <w:rFonts w:hint="cs"/>
                <w:sz w:val="26"/>
                <w:rtl/>
              </w:rPr>
              <w:t>ב</w:t>
            </w:r>
            <w:r w:rsidRPr="00C078FF">
              <w:rPr>
                <w:rFonts w:hint="eastAsia"/>
                <w:sz w:val="26"/>
                <w:rtl/>
              </w:rPr>
              <w:t>תקנות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כאמור</w:t>
            </w:r>
            <w:r w:rsidRPr="00C078FF">
              <w:rPr>
                <w:rFonts w:hint="cs"/>
                <w:sz w:val="26"/>
                <w:rtl/>
              </w:rPr>
              <w:t xml:space="preserve"> בפסקה (3) ייקבע </w:t>
            </w:r>
            <w:r w:rsidRPr="00C078FF">
              <w:rPr>
                <w:rFonts w:hint="eastAsia"/>
                <w:sz w:val="26"/>
                <w:rtl/>
              </w:rPr>
              <w:t>כי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מהמחיר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הרבעוני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לליטר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חלב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ברבעון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השלישי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ו</w:t>
            </w:r>
            <w:r w:rsidRPr="00C078FF">
              <w:rPr>
                <w:rFonts w:hint="cs"/>
                <w:sz w:val="26"/>
                <w:rtl/>
              </w:rPr>
              <w:t xml:space="preserve">ברבעון </w:t>
            </w:r>
            <w:r w:rsidRPr="00C078FF">
              <w:rPr>
                <w:rFonts w:hint="eastAsia"/>
                <w:sz w:val="26"/>
                <w:rtl/>
              </w:rPr>
              <w:t>הרביעי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של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שנת</w:t>
            </w:r>
            <w:r w:rsidRPr="00C078FF">
              <w:rPr>
                <w:sz w:val="26"/>
                <w:rtl/>
              </w:rPr>
              <w:t xml:space="preserve"> 2021 </w:t>
            </w:r>
            <w:r w:rsidRPr="00C078FF">
              <w:rPr>
                <w:rFonts w:hint="eastAsia"/>
                <w:sz w:val="26"/>
                <w:rtl/>
              </w:rPr>
              <w:t>יופחתו</w:t>
            </w:r>
            <w:r w:rsidRPr="00C078FF">
              <w:rPr>
                <w:sz w:val="26"/>
                <w:rtl/>
              </w:rPr>
              <w:t xml:space="preserve"> 2.8 </w:t>
            </w:r>
            <w:r w:rsidRPr="00C078FF">
              <w:rPr>
                <w:rFonts w:hint="eastAsia"/>
                <w:sz w:val="26"/>
                <w:rtl/>
              </w:rPr>
              <w:t>אגורות</w:t>
            </w:r>
            <w:r w:rsidRPr="00C078FF">
              <w:rPr>
                <w:rFonts w:hint="cs"/>
                <w:sz w:val="26"/>
                <w:rtl/>
              </w:rPr>
              <w:t xml:space="preserve">, </w:t>
            </w:r>
            <w:r w:rsidRPr="00C078FF">
              <w:rPr>
                <w:rFonts w:hint="eastAsia"/>
                <w:sz w:val="26"/>
                <w:rtl/>
              </w:rPr>
              <w:t>ובלבד</w:t>
            </w:r>
            <w:r w:rsidRPr="00C078FF">
              <w:rPr>
                <w:sz w:val="26"/>
                <w:rtl/>
              </w:rPr>
              <w:t xml:space="preserve"> שתקנות כאמור </w:t>
            </w:r>
            <w:r w:rsidRPr="00C078FF">
              <w:rPr>
                <w:rFonts w:hint="eastAsia"/>
                <w:sz w:val="26"/>
                <w:rtl/>
              </w:rPr>
              <w:t>הותקנו</w:t>
            </w:r>
            <w:r w:rsidRPr="00C078FF">
              <w:rPr>
                <w:sz w:val="26"/>
                <w:rtl/>
              </w:rPr>
              <w:t xml:space="preserve"> עד יום </w:t>
            </w:r>
            <w:r w:rsidRPr="00C078FF">
              <w:rPr>
                <w:rFonts w:hint="eastAsia"/>
                <w:sz w:val="26"/>
                <w:rtl/>
              </w:rPr>
              <w:t>כ</w:t>
            </w:r>
            <w:r w:rsidRPr="00C078FF">
              <w:rPr>
                <w:sz w:val="26"/>
                <w:rtl/>
              </w:rPr>
              <w:t>"</w:t>
            </w:r>
            <w:r w:rsidRPr="00C078FF">
              <w:rPr>
                <w:rFonts w:hint="eastAsia"/>
                <w:sz w:val="26"/>
                <w:rtl/>
              </w:rPr>
              <w:t>ד</w:t>
            </w:r>
            <w:r w:rsidRPr="00C078FF">
              <w:rPr>
                <w:sz w:val="26"/>
                <w:rtl/>
              </w:rPr>
              <w:t xml:space="preserve"> </w:t>
            </w:r>
            <w:r w:rsidRPr="00C078FF">
              <w:rPr>
                <w:rFonts w:hint="eastAsia"/>
                <w:sz w:val="26"/>
                <w:rtl/>
              </w:rPr>
              <w:t>בתשרי</w:t>
            </w:r>
            <w:r w:rsidRPr="00C078FF">
              <w:rPr>
                <w:sz w:val="26"/>
                <w:rtl/>
              </w:rPr>
              <w:t xml:space="preserve"> </w:t>
            </w:r>
            <w:proofErr w:type="spellStart"/>
            <w:r w:rsidRPr="00C078FF">
              <w:rPr>
                <w:rFonts w:hint="eastAsia"/>
                <w:sz w:val="26"/>
                <w:rtl/>
              </w:rPr>
              <w:t>התשפ</w:t>
            </w:r>
            <w:r w:rsidRPr="00C078FF">
              <w:rPr>
                <w:sz w:val="26"/>
                <w:rtl/>
              </w:rPr>
              <w:t>"</w:t>
            </w:r>
            <w:r w:rsidRPr="00C078FF">
              <w:rPr>
                <w:rFonts w:hint="eastAsia"/>
                <w:sz w:val="26"/>
                <w:rtl/>
              </w:rPr>
              <w:t>ב</w:t>
            </w:r>
            <w:proofErr w:type="spellEnd"/>
            <w:r w:rsidRPr="00C078FF">
              <w:rPr>
                <w:sz w:val="26"/>
                <w:rtl/>
              </w:rPr>
              <w:t xml:space="preserve"> (30 </w:t>
            </w:r>
            <w:r w:rsidRPr="00C078FF">
              <w:rPr>
                <w:rFonts w:hint="eastAsia"/>
                <w:sz w:val="26"/>
                <w:rtl/>
              </w:rPr>
              <w:t>בספטמבר</w:t>
            </w:r>
            <w:r w:rsidRPr="00C078FF">
              <w:rPr>
                <w:sz w:val="26"/>
                <w:rtl/>
              </w:rPr>
              <w:t xml:space="preserve"> 2021).</w:t>
            </w:r>
          </w:p>
        </w:tc>
      </w:tr>
      <w:tr w:rsidR="00CC7BAA" w14:paraId="4C23BC97" w14:textId="77777777" w:rsidTr="00CC7BA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3BA712" w14:textId="77777777" w:rsidR="00CC7BAA" w:rsidRPr="00F65892" w:rsidRDefault="00CC7BAA" w:rsidP="006B0F07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855AF9" w14:textId="77777777" w:rsidR="00CC7BAA" w:rsidRPr="00F65892" w:rsidRDefault="00CC7BAA" w:rsidP="006B0F07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FFB8A2" w14:textId="77777777" w:rsidR="00CC7BAA" w:rsidRPr="00F65892" w:rsidRDefault="00CC7BAA" w:rsidP="006B0F0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2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F5ADED7" w14:textId="77777777" w:rsidR="00CC7BAA" w:rsidRDefault="00CC7BAA" w:rsidP="00CC7BAA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(5)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בצו לפי סעיף קטן (א1) רשאים השרים, באישור ועדת הכלכלה של הכנסת, להאריך את התקופה האמורה בפסקה (3) בתקופה אחת נוספת עד </w:t>
            </w:r>
            <w:r w:rsidRPr="007452D5">
              <w:rPr>
                <w:rFonts w:hint="eastAsia"/>
                <w:sz w:val="26"/>
                <w:rtl/>
              </w:rPr>
              <w:t>יום</w:t>
            </w:r>
            <w:r w:rsidRPr="007452D5">
              <w:rPr>
                <w:sz w:val="26"/>
                <w:rtl/>
              </w:rPr>
              <w:t xml:space="preserve"> </w:t>
            </w:r>
            <w:r w:rsidRPr="007452D5">
              <w:rPr>
                <w:rFonts w:hint="eastAsia"/>
                <w:sz w:val="26"/>
                <w:rtl/>
              </w:rPr>
              <w:t>י</w:t>
            </w:r>
            <w:r w:rsidRPr="007452D5">
              <w:rPr>
                <w:sz w:val="26"/>
                <w:rtl/>
              </w:rPr>
              <w:t>"</w:t>
            </w:r>
            <w:r w:rsidRPr="007452D5">
              <w:rPr>
                <w:rFonts w:hint="eastAsia"/>
                <w:sz w:val="26"/>
                <w:rtl/>
              </w:rPr>
              <w:t>א</w:t>
            </w:r>
            <w:r w:rsidRPr="007452D5">
              <w:rPr>
                <w:sz w:val="26"/>
                <w:rtl/>
              </w:rPr>
              <w:t xml:space="preserve"> </w:t>
            </w:r>
            <w:r w:rsidRPr="007452D5">
              <w:rPr>
                <w:rFonts w:hint="eastAsia"/>
                <w:sz w:val="26"/>
                <w:rtl/>
              </w:rPr>
              <w:t>בטבת</w:t>
            </w:r>
            <w:r w:rsidRPr="007452D5">
              <w:rPr>
                <w:sz w:val="26"/>
                <w:rtl/>
              </w:rPr>
              <w:t xml:space="preserve"> </w:t>
            </w:r>
            <w:proofErr w:type="spellStart"/>
            <w:r w:rsidRPr="007452D5">
              <w:rPr>
                <w:rFonts w:hint="eastAsia"/>
                <w:sz w:val="26"/>
                <w:rtl/>
              </w:rPr>
              <w:t>התשפ</w:t>
            </w:r>
            <w:r w:rsidRPr="007452D5">
              <w:rPr>
                <w:sz w:val="26"/>
                <w:rtl/>
              </w:rPr>
              <w:t>"</w:t>
            </w:r>
            <w:r w:rsidRPr="007452D5">
              <w:rPr>
                <w:rFonts w:hint="eastAsia"/>
                <w:sz w:val="26"/>
                <w:rtl/>
              </w:rPr>
              <w:t>ו</w:t>
            </w:r>
            <w:proofErr w:type="spellEnd"/>
            <w:r w:rsidRPr="007452D5">
              <w:rPr>
                <w:sz w:val="26"/>
                <w:rtl/>
              </w:rPr>
              <w:t xml:space="preserve"> (31 </w:t>
            </w:r>
            <w:r w:rsidRPr="007452D5">
              <w:rPr>
                <w:rFonts w:hint="eastAsia"/>
                <w:sz w:val="26"/>
                <w:rtl/>
              </w:rPr>
              <w:t>בדצמבר</w:t>
            </w:r>
            <w:r w:rsidRPr="007452D5">
              <w:rPr>
                <w:sz w:val="26"/>
                <w:rtl/>
              </w:rPr>
              <w:t xml:space="preserve"> 2025)</w:t>
            </w:r>
            <w:r w:rsidRPr="00DF2437">
              <w:rPr>
                <w:sz w:val="26"/>
                <w:rtl/>
              </w:rPr>
              <w:t>.</w:t>
            </w:r>
            <w:r>
              <w:rPr>
                <w:rFonts w:hint="cs"/>
                <w:sz w:val="26"/>
                <w:rtl/>
              </w:rPr>
              <w:t>"</w:t>
            </w:r>
          </w:p>
        </w:tc>
      </w:tr>
      <w:tr w:rsidR="00CC7BAA" w:rsidRPr="00F65892" w14:paraId="6AB40225" w14:textId="77777777" w:rsidTr="00CC7BA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206C892" w14:textId="77777777" w:rsidR="00CC7BAA" w:rsidRPr="00F65892" w:rsidRDefault="00CC7BAA" w:rsidP="006B0F07">
            <w:pPr>
              <w:pStyle w:val="TableSideHeading"/>
              <w:rPr>
                <w:sz w:val="26"/>
                <w:rtl/>
              </w:rPr>
            </w:pPr>
            <w:r w:rsidRPr="00F65892">
              <w:rPr>
                <w:rFonts w:hint="eastAsia"/>
                <w:sz w:val="26"/>
                <w:rtl/>
              </w:rPr>
              <w:t>תחילה</w:t>
            </w:r>
            <w:r>
              <w:rPr>
                <w:rFonts w:hint="cs"/>
                <w:sz w:val="26"/>
                <w:rtl/>
              </w:rPr>
              <w:t xml:space="preserve"> והוראת מעבר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49491B" w14:textId="77777777" w:rsidR="00CC7BAA" w:rsidRPr="00F65892" w:rsidRDefault="00CC7BAA" w:rsidP="006B0F07">
            <w:pPr>
              <w:pStyle w:val="TableText"/>
              <w:rPr>
                <w:sz w:val="26"/>
                <w:rtl/>
              </w:rPr>
            </w:pPr>
            <w:r w:rsidRPr="00F65892">
              <w:rPr>
                <w:sz w:val="26"/>
                <w:rtl/>
              </w:rPr>
              <w:t>2.</w:t>
            </w:r>
          </w:p>
        </w:tc>
        <w:tc>
          <w:tcPr>
            <w:tcW w:w="7146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864FE5" w14:textId="77777777" w:rsidR="00CC7BAA" w:rsidRPr="00F65892" w:rsidRDefault="00CC7BAA" w:rsidP="00CC7BAA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(א)</w:t>
            </w:r>
            <w:r>
              <w:rPr>
                <w:sz w:val="26"/>
                <w:rtl/>
              </w:rPr>
              <w:tab/>
            </w:r>
            <w:r w:rsidRPr="00F65892">
              <w:rPr>
                <w:rFonts w:hint="eastAsia"/>
                <w:sz w:val="26"/>
                <w:rtl/>
              </w:rPr>
              <w:t>תחילתו</w:t>
            </w:r>
            <w:r w:rsidRPr="00F65892">
              <w:rPr>
                <w:sz w:val="26"/>
                <w:rtl/>
              </w:rPr>
              <w:t xml:space="preserve"> </w:t>
            </w:r>
            <w:r w:rsidRPr="00F65892">
              <w:rPr>
                <w:rFonts w:hint="eastAsia"/>
                <w:sz w:val="26"/>
                <w:rtl/>
              </w:rPr>
              <w:t>של</w:t>
            </w:r>
            <w:r w:rsidRPr="00F65892">
              <w:rPr>
                <w:sz w:val="26"/>
                <w:rtl/>
              </w:rPr>
              <w:t xml:space="preserve"> </w:t>
            </w:r>
            <w:r w:rsidRPr="00F65892">
              <w:rPr>
                <w:rFonts w:hint="eastAsia"/>
                <w:sz w:val="26"/>
                <w:rtl/>
              </w:rPr>
              <w:t>חוק</w:t>
            </w:r>
            <w:r w:rsidRPr="00F65892">
              <w:rPr>
                <w:sz w:val="26"/>
                <w:rtl/>
              </w:rPr>
              <w:t xml:space="preserve"> </w:t>
            </w:r>
            <w:r w:rsidRPr="00F65892">
              <w:rPr>
                <w:rFonts w:hint="eastAsia"/>
                <w:sz w:val="26"/>
                <w:rtl/>
              </w:rPr>
              <w:t>זה</w:t>
            </w:r>
            <w:r w:rsidRPr="00F65892">
              <w:rPr>
                <w:sz w:val="26"/>
                <w:rtl/>
              </w:rPr>
              <w:t xml:space="preserve"> </w:t>
            </w:r>
            <w:r w:rsidRPr="00F65892">
              <w:rPr>
                <w:rFonts w:hint="eastAsia"/>
                <w:sz w:val="26"/>
                <w:rtl/>
              </w:rPr>
              <w:t>ביום</w:t>
            </w:r>
            <w:r w:rsidRPr="00F65892">
              <w:rPr>
                <w:sz w:val="26"/>
                <w:rtl/>
              </w:rPr>
              <w:t xml:space="preserve"> </w:t>
            </w:r>
            <w:r w:rsidRPr="00F65892">
              <w:rPr>
                <w:rFonts w:hint="eastAsia"/>
                <w:sz w:val="26"/>
                <w:rtl/>
              </w:rPr>
              <w:t>כ</w:t>
            </w:r>
            <w:r w:rsidRPr="00F65892">
              <w:rPr>
                <w:sz w:val="26"/>
                <w:rtl/>
              </w:rPr>
              <w:t>"</w:t>
            </w:r>
            <w:r w:rsidRPr="00F65892">
              <w:rPr>
                <w:rFonts w:hint="eastAsia"/>
                <w:sz w:val="26"/>
                <w:rtl/>
              </w:rPr>
              <w:t>א</w:t>
            </w:r>
            <w:r w:rsidRPr="00F65892">
              <w:rPr>
                <w:sz w:val="26"/>
                <w:rtl/>
              </w:rPr>
              <w:t xml:space="preserve"> </w:t>
            </w:r>
            <w:r w:rsidRPr="00F65892">
              <w:rPr>
                <w:rFonts w:hint="eastAsia"/>
                <w:sz w:val="26"/>
                <w:rtl/>
              </w:rPr>
              <w:t>בתמוז</w:t>
            </w:r>
            <w:r w:rsidRPr="00F65892">
              <w:rPr>
                <w:sz w:val="26"/>
                <w:rtl/>
              </w:rPr>
              <w:t xml:space="preserve"> </w:t>
            </w:r>
            <w:proofErr w:type="spellStart"/>
            <w:r w:rsidRPr="00F65892">
              <w:rPr>
                <w:rFonts w:hint="eastAsia"/>
                <w:sz w:val="26"/>
                <w:rtl/>
              </w:rPr>
              <w:t>התשפ</w:t>
            </w:r>
            <w:r w:rsidRPr="00F65892">
              <w:rPr>
                <w:sz w:val="26"/>
                <w:rtl/>
              </w:rPr>
              <w:t>"</w:t>
            </w:r>
            <w:r w:rsidRPr="00F65892">
              <w:rPr>
                <w:rFonts w:hint="eastAsia"/>
                <w:sz w:val="26"/>
                <w:rtl/>
              </w:rPr>
              <w:t>א</w:t>
            </w:r>
            <w:proofErr w:type="spellEnd"/>
            <w:r w:rsidRPr="00F65892">
              <w:rPr>
                <w:sz w:val="26"/>
                <w:rtl/>
              </w:rPr>
              <w:t xml:space="preserve"> (1 </w:t>
            </w:r>
            <w:r w:rsidRPr="00F65892">
              <w:rPr>
                <w:rFonts w:hint="eastAsia"/>
                <w:sz w:val="26"/>
                <w:rtl/>
              </w:rPr>
              <w:t>ביולי</w:t>
            </w:r>
            <w:r w:rsidRPr="00F65892">
              <w:rPr>
                <w:sz w:val="26"/>
                <w:rtl/>
              </w:rPr>
              <w:t xml:space="preserve"> 2021)</w:t>
            </w:r>
            <w:r>
              <w:rPr>
                <w:rFonts w:hint="cs"/>
                <w:sz w:val="26"/>
                <w:rtl/>
              </w:rPr>
              <w:t xml:space="preserve"> (להלן </w:t>
            </w:r>
            <w:r>
              <w:rPr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 xml:space="preserve"> יום התחילה)</w:t>
            </w:r>
            <w:r w:rsidRPr="00F65892">
              <w:rPr>
                <w:sz w:val="26"/>
                <w:rtl/>
              </w:rPr>
              <w:t>.</w:t>
            </w:r>
          </w:p>
        </w:tc>
      </w:tr>
      <w:tr w:rsidR="00CC7BAA" w14:paraId="1EA39B4A" w14:textId="77777777" w:rsidTr="00CC7BA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C32C52" w14:textId="77777777" w:rsidR="00CC7BAA" w:rsidRPr="00F65892" w:rsidRDefault="00CC7BAA" w:rsidP="006B0F07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880853" w14:textId="77777777" w:rsidR="00CC7BAA" w:rsidRPr="00F65892" w:rsidRDefault="00CC7BAA" w:rsidP="006B0F07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B43D61" w14:textId="77777777" w:rsidR="00CC7BAA" w:rsidRDefault="00CC7BAA" w:rsidP="00CC7BAA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(ב)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מיום התחילה ואילך, עדכון המחיר הרבעוני לליטר חלב יהיה בהתאם לתקנות לפי סעיף 44(ב) לחוק העיקרי כנוסחו בחוק זה, ובלבד שתקנות כאמור הותקנו עד יום </w:t>
            </w:r>
            <w:r w:rsidRPr="00F65892">
              <w:rPr>
                <w:rFonts w:hint="eastAsia"/>
                <w:sz w:val="26"/>
                <w:rtl/>
              </w:rPr>
              <w:t>כ</w:t>
            </w:r>
            <w:r w:rsidRPr="00F65892">
              <w:rPr>
                <w:sz w:val="26"/>
                <w:rtl/>
              </w:rPr>
              <w:t>"</w:t>
            </w:r>
            <w:r w:rsidRPr="00F65892">
              <w:rPr>
                <w:rFonts w:hint="eastAsia"/>
                <w:sz w:val="26"/>
                <w:rtl/>
              </w:rPr>
              <w:t>ד</w:t>
            </w:r>
            <w:r w:rsidRPr="00F65892">
              <w:rPr>
                <w:sz w:val="26"/>
                <w:rtl/>
              </w:rPr>
              <w:t xml:space="preserve"> </w:t>
            </w:r>
            <w:r w:rsidRPr="00F65892">
              <w:rPr>
                <w:rFonts w:hint="eastAsia"/>
                <w:sz w:val="26"/>
                <w:rtl/>
              </w:rPr>
              <w:t>בתשרי</w:t>
            </w:r>
            <w:r w:rsidRPr="00F65892">
              <w:rPr>
                <w:sz w:val="26"/>
                <w:rtl/>
              </w:rPr>
              <w:t xml:space="preserve"> </w:t>
            </w:r>
            <w:proofErr w:type="spellStart"/>
            <w:r w:rsidRPr="00F65892">
              <w:rPr>
                <w:rFonts w:hint="eastAsia"/>
                <w:sz w:val="26"/>
                <w:rtl/>
              </w:rPr>
              <w:t>התשפ</w:t>
            </w:r>
            <w:r w:rsidRPr="00F65892">
              <w:rPr>
                <w:sz w:val="26"/>
                <w:rtl/>
              </w:rPr>
              <w:t>"</w:t>
            </w:r>
            <w:r w:rsidRPr="00F65892">
              <w:rPr>
                <w:rFonts w:hint="eastAsia"/>
                <w:sz w:val="26"/>
                <w:rtl/>
              </w:rPr>
              <w:t>ב</w:t>
            </w:r>
            <w:proofErr w:type="spellEnd"/>
            <w:r w:rsidRPr="00F65892">
              <w:rPr>
                <w:sz w:val="26"/>
                <w:rtl/>
              </w:rPr>
              <w:t xml:space="preserve"> (30 </w:t>
            </w:r>
            <w:r w:rsidRPr="00F65892">
              <w:rPr>
                <w:rFonts w:hint="eastAsia"/>
                <w:sz w:val="26"/>
                <w:rtl/>
              </w:rPr>
              <w:t>בספטמבר</w:t>
            </w:r>
            <w:r>
              <w:rPr>
                <w:sz w:val="26"/>
                <w:rtl/>
              </w:rPr>
              <w:t xml:space="preserve"> 2021</w:t>
            </w:r>
            <w:r>
              <w:rPr>
                <w:rFonts w:hint="cs"/>
                <w:sz w:val="26"/>
                <w:rtl/>
              </w:rPr>
              <w:t>).</w:t>
            </w:r>
          </w:p>
        </w:tc>
      </w:tr>
    </w:tbl>
    <w:p w14:paraId="4812F599" w14:textId="77777777" w:rsidR="008525E2" w:rsidRPr="00E125CC" w:rsidRDefault="008525E2" w:rsidP="00D114CA">
      <w:pPr>
        <w:pStyle w:val="Noparagraphstyle"/>
        <w:spacing w:after="1200"/>
        <w:rPr>
          <w:sz w:val="26"/>
          <w:rtl/>
        </w:rPr>
      </w:pPr>
      <w:bookmarkStart w:id="6" w:name="_GoBack"/>
      <w:bookmarkEnd w:id="6"/>
    </w:p>
    <w:tbl>
      <w:tblPr>
        <w:bidiVisual/>
        <w:tblW w:w="10167" w:type="dxa"/>
        <w:tblLook w:val="00A0" w:firstRow="1" w:lastRow="0" w:firstColumn="1" w:lastColumn="0" w:noHBand="0" w:noVBand="0"/>
      </w:tblPr>
      <w:tblGrid>
        <w:gridCol w:w="2268"/>
        <w:gridCol w:w="2039"/>
        <w:gridCol w:w="2315"/>
        <w:gridCol w:w="3545"/>
      </w:tblGrid>
      <w:tr w:rsidR="008525E2" w:rsidRPr="00D466D4" w14:paraId="4812F5A0" w14:textId="77777777" w:rsidTr="00CC7BAA">
        <w:tc>
          <w:tcPr>
            <w:tcW w:w="2268" w:type="dxa"/>
            <w:shd w:val="clear" w:color="auto" w:fill="auto"/>
          </w:tcPr>
          <w:p w14:paraId="4812F59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039" w:type="dxa"/>
            <w:shd w:val="clear" w:color="auto" w:fill="auto"/>
          </w:tcPr>
          <w:p w14:paraId="4812F59B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נפתלי בנט</w:t>
            </w:r>
            <w:bookmarkEnd w:id="7"/>
          </w:p>
          <w:p w14:paraId="4812F59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315" w:type="dxa"/>
            <w:shd w:val="clear" w:color="auto" w:fill="auto"/>
          </w:tcPr>
          <w:p w14:paraId="4812F59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4812F59E" w14:textId="39FCE163" w:rsidR="008525E2" w:rsidRPr="00D466D4" w:rsidRDefault="00CC7BAA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עודד פורר</w:t>
            </w:r>
          </w:p>
          <w:p w14:paraId="4812F59F" w14:textId="6D810E13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 ה</w:t>
            </w:r>
            <w:r w:rsidR="00CC7BAA">
              <w:rPr>
                <w:rFonts w:hint="cs"/>
                <w:sz w:val="26"/>
                <w:szCs w:val="26"/>
                <w:rtl/>
              </w:rPr>
              <w:t>חקלאות ופיתוח הכפר</w:t>
            </w:r>
          </w:p>
        </w:tc>
      </w:tr>
      <w:tr w:rsidR="008525E2" w:rsidRPr="00D466D4" w14:paraId="4812F5A7" w14:textId="77777777" w:rsidTr="00CC7BAA">
        <w:tc>
          <w:tcPr>
            <w:tcW w:w="2268" w:type="dxa"/>
            <w:shd w:val="clear" w:color="auto" w:fill="auto"/>
          </w:tcPr>
          <w:p w14:paraId="4812F5A1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4812F5A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039" w:type="dxa"/>
            <w:shd w:val="clear" w:color="auto" w:fill="auto"/>
          </w:tcPr>
          <w:p w14:paraId="4812F5A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315" w:type="dxa"/>
            <w:shd w:val="clear" w:color="auto" w:fill="auto"/>
          </w:tcPr>
          <w:p w14:paraId="4812F5A4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4812F5A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4812F5A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4812F5AE" w14:textId="77777777" w:rsidTr="00CC7BAA">
        <w:tc>
          <w:tcPr>
            <w:tcW w:w="2268" w:type="dxa"/>
            <w:shd w:val="clear" w:color="auto" w:fill="auto"/>
          </w:tcPr>
          <w:p w14:paraId="4812F5A8" w14:textId="77777777" w:rsidR="008525E2" w:rsidRPr="00D466D4" w:rsidRDefault="00893AAC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4812F5A9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039" w:type="dxa"/>
            <w:shd w:val="clear" w:color="auto" w:fill="auto"/>
          </w:tcPr>
          <w:p w14:paraId="4812F5A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315" w:type="dxa"/>
            <w:shd w:val="clear" w:color="auto" w:fill="auto"/>
          </w:tcPr>
          <w:p w14:paraId="4812F5AB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HeadKnessetName"/>
            <w:r>
              <w:rPr>
                <w:rFonts w:hint="cs"/>
                <w:sz w:val="26"/>
                <w:szCs w:val="26"/>
                <w:rtl/>
              </w:rPr>
              <w:t>מיקי לוי</w:t>
            </w:r>
            <w:bookmarkEnd w:id="8"/>
          </w:p>
          <w:p w14:paraId="4812F5A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3545" w:type="dxa"/>
            <w:shd w:val="clear" w:color="auto" w:fill="auto"/>
          </w:tcPr>
          <w:p w14:paraId="4812F5A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4812F5AF" w14:textId="77777777" w:rsidR="002137F8" w:rsidRPr="008525E2" w:rsidRDefault="002137F8" w:rsidP="00D114CA">
      <w:pPr>
        <w:rPr>
          <w:rtl/>
        </w:rPr>
      </w:pPr>
    </w:p>
    <w:sectPr w:rsidR="002137F8" w:rsidRPr="008525E2" w:rsidSect="00CC7BAA">
      <w:headerReference w:type="even" r:id="rId13"/>
      <w:headerReference w:type="default" r:id="rId14"/>
      <w:footerReference w:type="even" r:id="rId15"/>
      <w:pgSz w:w="11906" w:h="16838"/>
      <w:pgMar w:top="1701" w:right="1134" w:bottom="1702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2F5B4" w14:textId="77777777" w:rsidR="00AC209E" w:rsidRDefault="00AC209E" w:rsidP="00B416AF">
      <w:pPr>
        <w:pStyle w:val="HeadHatzaotHok"/>
      </w:pPr>
      <w:r>
        <w:separator/>
      </w:r>
    </w:p>
  </w:endnote>
  <w:endnote w:type="continuationSeparator" w:id="0">
    <w:p w14:paraId="4812F5B5" w14:textId="77777777" w:rsidR="00AC209E" w:rsidRDefault="00AC209E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2F5BA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4812F5BB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2F5B2" w14:textId="77777777" w:rsidR="00AC209E" w:rsidRDefault="00AC209E" w:rsidP="00CC7BAA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4812F5B3" w14:textId="77777777" w:rsidR="00AC209E" w:rsidRPr="00696C5E" w:rsidRDefault="00AC209E" w:rsidP="00696C5E">
      <w:pPr>
        <w:pStyle w:val="HeadHatzaotHok"/>
        <w:spacing w:before="0"/>
        <w:jc w:val="left"/>
      </w:pPr>
      <w:r>
        <w:separator/>
      </w:r>
    </w:p>
  </w:footnote>
  <w:footnote w:id="1">
    <w:p w14:paraId="4812F5BC" w14:textId="26F2F764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 xml:space="preserve">כ"ו באב </w:t>
      </w:r>
      <w:proofErr w:type="spellStart"/>
      <w:r>
        <w:rPr>
          <w:rFonts w:hint="cs"/>
          <w:rtl/>
        </w:rPr>
        <w:t>התשפ"א</w:t>
      </w:r>
      <w:proofErr w:type="spellEnd"/>
      <w:r>
        <w:rPr>
          <w:rFonts w:hint="cs"/>
          <w:rtl/>
        </w:rPr>
        <w:t xml:space="preserve"> (4 באוגוסט 2021)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1414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 xml:space="preserve">י"ח בתמוז </w:t>
      </w:r>
      <w:proofErr w:type="spellStart"/>
      <w:r>
        <w:rPr>
          <w:rFonts w:hint="cs"/>
          <w:rtl/>
        </w:rPr>
        <w:t>התשפ"א</w:t>
      </w:r>
      <w:bookmarkEnd w:id="4"/>
      <w:proofErr w:type="spellEnd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28 ביוני 2021</w:t>
      </w:r>
      <w:bookmarkEnd w:id="5"/>
      <w:r w:rsidRPr="00827E61">
        <w:rPr>
          <w:rFonts w:hint="cs"/>
          <w:rtl/>
        </w:rPr>
        <w:t>), עמ'</w:t>
      </w:r>
      <w:r w:rsidR="00CC7BAA">
        <w:rPr>
          <w:rFonts w:hint="cs"/>
          <w:rtl/>
        </w:rPr>
        <w:t xml:space="preserve"> 478</w:t>
      </w:r>
      <w:r>
        <w:rPr>
          <w:rFonts w:hint="cs"/>
          <w:rtl/>
        </w:rPr>
        <w:t>.</w:t>
      </w:r>
    </w:p>
  </w:footnote>
  <w:footnote w:id="2">
    <w:p w14:paraId="058932D7" w14:textId="77777777" w:rsidR="00CC7BAA" w:rsidRDefault="00CC7BAA" w:rsidP="00CC7BAA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התשע"א</w:t>
      </w:r>
      <w:proofErr w:type="spellEnd"/>
      <w:r>
        <w:rPr>
          <w:rtl/>
        </w:rPr>
        <w:t xml:space="preserve">, עמ' 762; </w:t>
      </w:r>
      <w:proofErr w:type="spellStart"/>
      <w:r>
        <w:rPr>
          <w:rtl/>
        </w:rPr>
        <w:t>התש"ף</w:t>
      </w:r>
      <w:proofErr w:type="spellEnd"/>
      <w:r>
        <w:rPr>
          <w:rtl/>
        </w:rPr>
        <w:t>, עמ' 156.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2F5B6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4812F5B7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2F5B8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 w:rsidR="006A0632"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4812F5B9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3C5B"/>
    <w:rsid w:val="00097925"/>
    <w:rsid w:val="000B3A00"/>
    <w:rsid w:val="000E3B18"/>
    <w:rsid w:val="000E4563"/>
    <w:rsid w:val="000E7E08"/>
    <w:rsid w:val="000F6D7C"/>
    <w:rsid w:val="001253F6"/>
    <w:rsid w:val="00135743"/>
    <w:rsid w:val="00151246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40E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940B7"/>
    <w:rsid w:val="005A2EB8"/>
    <w:rsid w:val="005B6107"/>
    <w:rsid w:val="005C5383"/>
    <w:rsid w:val="005D1A36"/>
    <w:rsid w:val="005F20ED"/>
    <w:rsid w:val="00606368"/>
    <w:rsid w:val="00696C5E"/>
    <w:rsid w:val="006A0632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93AAC"/>
    <w:rsid w:val="008A5C70"/>
    <w:rsid w:val="008B055C"/>
    <w:rsid w:val="009579F7"/>
    <w:rsid w:val="009B1679"/>
    <w:rsid w:val="009C37CC"/>
    <w:rsid w:val="009C7FC7"/>
    <w:rsid w:val="009E19BF"/>
    <w:rsid w:val="009F0EF8"/>
    <w:rsid w:val="009F1621"/>
    <w:rsid w:val="00A03A03"/>
    <w:rsid w:val="00A15945"/>
    <w:rsid w:val="00A54DE5"/>
    <w:rsid w:val="00A9474C"/>
    <w:rsid w:val="00AA5399"/>
    <w:rsid w:val="00AC209E"/>
    <w:rsid w:val="00AC4CCE"/>
    <w:rsid w:val="00B16515"/>
    <w:rsid w:val="00B416AF"/>
    <w:rsid w:val="00B4412A"/>
    <w:rsid w:val="00B6418A"/>
    <w:rsid w:val="00B90E4C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C7BAA"/>
    <w:rsid w:val="00CD1A3B"/>
    <w:rsid w:val="00CD2734"/>
    <w:rsid w:val="00CD5774"/>
    <w:rsid w:val="00D114CA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2F591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AA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7BAA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CC7BAA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CC7BAA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CC7BAA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C7BAA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CC7BA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C7BAA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CC7BAA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CC7BAA"/>
    <w:rPr>
      <w:sz w:val="36"/>
      <w:szCs w:val="52"/>
    </w:rPr>
  </w:style>
  <w:style w:type="paragraph" w:customStyle="1" w:styleId="Cover3-Haknesset">
    <w:name w:val="Cover 3-Haknesset"/>
    <w:basedOn w:val="Cover1-Reshumot"/>
    <w:rsid w:val="00CC7BAA"/>
    <w:rPr>
      <w:b/>
      <w:bCs/>
      <w:spacing w:val="60"/>
    </w:rPr>
  </w:style>
  <w:style w:type="paragraph" w:customStyle="1" w:styleId="Cover4-Date">
    <w:name w:val="Cover 4-Date"/>
    <w:basedOn w:val="a"/>
    <w:rsid w:val="00CC7BA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CC7BAA"/>
    <w:rPr>
      <w:vertAlign w:val="superscript"/>
    </w:rPr>
  </w:style>
  <w:style w:type="paragraph" w:customStyle="1" w:styleId="Ragil">
    <w:name w:val="Ragil"/>
    <w:basedOn w:val="a"/>
    <w:rsid w:val="00CC7BAA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CC7BAA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CC7BAA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CC7BAA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CC7BAA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CC7BAA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CC7BAA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CC7BAA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CC7BAA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CC7BAA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CC7BAA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CC7BAA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CC7BAA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CC7BAA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CC7BAA"/>
    <w:rPr>
      <w:color w:val="0563C1" w:themeColor="hyperlink"/>
      <w:u w:val="single"/>
    </w:rPr>
  </w:style>
  <w:style w:type="character" w:styleId="ac">
    <w:name w:val="page number"/>
    <w:basedOn w:val="a0"/>
    <w:rsid w:val="00CC7BAA"/>
  </w:style>
  <w:style w:type="paragraph" w:customStyle="1" w:styleId="TableText">
    <w:name w:val="Table Text"/>
    <w:basedOn w:val="a"/>
    <w:rsid w:val="00CC7BAA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link w:val="TableBlock0"/>
    <w:rsid w:val="00CC7BAA"/>
    <w:pPr>
      <w:jc w:val="both"/>
    </w:pPr>
  </w:style>
  <w:style w:type="paragraph" w:customStyle="1" w:styleId="TableBlockOutdent">
    <w:name w:val="Table BlockOutdent"/>
    <w:basedOn w:val="TableBlock"/>
    <w:rsid w:val="00CC7BAA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CC7BAA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CC7BAA"/>
    <w:pPr>
      <w:outlineLvl w:val="2"/>
    </w:pPr>
  </w:style>
  <w:style w:type="paragraph" w:customStyle="1" w:styleId="TableInnerSideHeading">
    <w:name w:val="Table InnerSideHeading"/>
    <w:basedOn w:val="TableSideHeading"/>
    <w:rsid w:val="00CC7BAA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TableBlock0">
    <w:name w:val="Table Block תו"/>
    <w:link w:val="TableBlock"/>
    <w:locked/>
    <w:rsid w:val="00CC7BAA"/>
    <w:rPr>
      <w:rFonts w:ascii="Arial" w:eastAsia="Arial Unicode MS" w:hAnsi="Arial" w:cs="David"/>
      <w:snapToGrid w:val="0"/>
      <w:szCs w:val="26"/>
    </w:rPr>
  </w:style>
  <w:style w:type="character" w:customStyle="1" w:styleId="30">
    <w:name w:val="כותרת 3 תו"/>
    <w:basedOn w:val="a0"/>
    <w:link w:val="3"/>
    <w:rsid w:val="00CC7BAA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CC7BAA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CC7BAA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CC7BAA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CC7BAA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CC7BAA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CC7BAA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CC7BAA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CC7BAA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CC7BAA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CC7BAA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CC7BAA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CC7BAA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CC7BAA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CC7BAA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CC7BAA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CC7BAA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CC7BAA"/>
    <w:rPr>
      <w:rFonts w:eastAsia="Times New Roman"/>
    </w:rPr>
  </w:style>
  <w:style w:type="paragraph" w:styleId="af1">
    <w:name w:val="List Paragraph"/>
    <w:basedOn w:val="a"/>
    <w:uiPriority w:val="34"/>
    <w:qFormat/>
    <w:rsid w:val="00CC7BAA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CC7BA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CC7BAA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CC7BAA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CC7BAA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CC7BAA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25A29CB36A16E48989D4D40273092E6" ma:contentTypeVersion="" ma:contentTypeDescription="צור מסמך חדש." ma:contentTypeScope="" ma:versionID="960836d9d79fe574671dad3ce2a7fd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1657D-317C-48BB-A872-2C64BBB17B1B}"/>
</file>

<file path=customXml/itemProps2.xml><?xml version="1.0" encoding="utf-8"?>
<ds:datastoreItem xmlns:ds="http://schemas.openxmlformats.org/officeDocument/2006/customXml" ds:itemID="{5C990E72-2A10-47B5-8633-F22511D80AB8}"/>
</file>

<file path=customXml/itemProps3.xml><?xml version="1.0" encoding="utf-8"?>
<ds:datastoreItem xmlns:ds="http://schemas.openxmlformats.org/officeDocument/2006/customXml" ds:itemID="{9AAD3E59-1685-4866-88AE-10917921A27A}"/>
</file>

<file path=customXml/itemProps4.xml><?xml version="1.0" encoding="utf-8"?>
<ds:datastoreItem xmlns:ds="http://schemas.openxmlformats.org/officeDocument/2006/customXml" ds:itemID="{90B3A15C-21C4-4529-A2F1-5FBD4F6E28F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C70972-DA5E-4D42-B762-4272918AA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5</cp:revision>
  <cp:lastPrinted>2021-08-05T06:19:00Z</cp:lastPrinted>
  <dcterms:created xsi:type="dcterms:W3CDTF">2018-06-18T13:53:00Z</dcterms:created>
  <dcterms:modified xsi:type="dcterms:W3CDTF">2021-08-05T06:19:00Z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0x010100C25A29CB36A16E48989D4D40273092E6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77762bf6-c04f-4fe6-9764-da1b19e80f50</vt:lpwstr>
  </property>
  <property fmtid="{D5CDD505-2E9C-101B-9397-08002B2CF9AE}" pid="20" name="SanhedrinItemID">
    <vt:r8>2159663</vt:r8>
  </property>
  <property fmtid="{D5CDD505-2E9C-101B-9397-08002B2CF9AE}" pid="21" name="SanhedrinDocumentType">
    <vt:r8>42</vt:r8>
  </property>
</Properties>
</file>