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2149292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3FC761D9" w:rsidR="00E13C27" w:rsidRPr="00CF1AA2" w:rsidRDefault="008F6665" w:rsidP="008A3D6E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ג'אבר </w:t>
      </w:r>
      <w:proofErr w:type="spellStart"/>
      <w:r>
        <w:rPr>
          <w:rFonts w:hint="cs"/>
          <w:b/>
          <w:bCs/>
          <w:rtl/>
        </w:rPr>
        <w:t>עסאקלה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איימן</w:t>
      </w:r>
      <w:proofErr w:type="spellEnd"/>
      <w:r>
        <w:rPr>
          <w:rFonts w:hint="cs"/>
          <w:b/>
          <w:bCs/>
          <w:rtl/>
        </w:rPr>
        <w:t xml:space="preserve">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עאידה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תומא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סלימאן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יוסף </w:t>
      </w:r>
      <w:proofErr w:type="spellStart"/>
      <w:r>
        <w:rPr>
          <w:rFonts w:hint="cs"/>
          <w:b/>
          <w:bCs/>
          <w:rtl/>
        </w:rPr>
        <w:t>ג'בארין</w:t>
      </w:r>
      <w:bookmarkStart w:id="4" w:name="LGS_Join_List"/>
      <w:bookmarkEnd w:id="3"/>
      <w:proofErr w:type="spellEnd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פ/2556/23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זכויות הסטודנט (תיקון – הגבלת דמי רישום), </w:t>
      </w:r>
      <w:proofErr w:type="spellStart"/>
      <w:r>
        <w:rPr>
          <w:rFonts w:hint="cs"/>
          <w:rtl/>
        </w:rPr>
        <w:t>התשפ"א</w:t>
      </w:r>
      <w:proofErr w:type="spellEnd"/>
      <w:r>
        <w:rPr>
          <w:rFonts w:hint="cs"/>
          <w:rtl/>
        </w:rPr>
        <w:t>–2020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ED77CF" w:rsidRPr="009B10F0" w14:paraId="38E25933" w14:textId="77777777" w:rsidTr="00D53A6B">
        <w:trPr>
          <w:cantSplit/>
        </w:trPr>
        <w:tc>
          <w:tcPr>
            <w:tcW w:w="1871" w:type="dxa"/>
          </w:tcPr>
          <w:p w14:paraId="7A6B0A64" w14:textId="77777777" w:rsidR="00ED77CF" w:rsidRPr="009B10F0" w:rsidRDefault="00ED77CF" w:rsidP="00D53A6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</w:pPr>
            <w:r w:rsidRPr="009B10F0"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>תיקון סעיף 10</w:t>
            </w:r>
          </w:p>
        </w:tc>
        <w:tc>
          <w:tcPr>
            <w:tcW w:w="624" w:type="dxa"/>
          </w:tcPr>
          <w:p w14:paraId="777AA9C4" w14:textId="01281D15" w:rsidR="00ED77CF" w:rsidRPr="009B10F0" w:rsidRDefault="00B80301" w:rsidP="00D53A6B">
            <w:pPr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</w:rPr>
            </w:pPr>
            <w:r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>1.</w:t>
            </w:r>
          </w:p>
        </w:tc>
        <w:tc>
          <w:tcPr>
            <w:tcW w:w="7146" w:type="dxa"/>
          </w:tcPr>
          <w:p w14:paraId="37CFC5C1" w14:textId="77777777" w:rsidR="00ED77CF" w:rsidRPr="009B10F0" w:rsidRDefault="00ED77CF" w:rsidP="00D53A6B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b/>
                <w:bCs/>
                <w:snapToGrid w:val="0"/>
                <w:spacing w:val="0"/>
                <w:sz w:val="20"/>
                <w:szCs w:val="26"/>
                <w:rtl/>
              </w:rPr>
            </w:pPr>
            <w:r w:rsidRPr="009B10F0"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 xml:space="preserve">בחוק זכויות הסטודנט, </w:t>
            </w:r>
            <w:proofErr w:type="spellStart"/>
            <w:r w:rsidRPr="009B10F0"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>התשס"ז</w:t>
            </w:r>
            <w:proofErr w:type="spellEnd"/>
            <w:r w:rsidRPr="009B10F0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rtl/>
              </w:rPr>
              <w:t>–</w:t>
            </w:r>
            <w:r w:rsidRPr="009B10F0"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>2007</w:t>
            </w:r>
            <w:r w:rsidRPr="009B10F0">
              <w:rPr>
                <w:rFonts w:ascii="Arial" w:eastAsia="Arial Unicode MS" w:hAnsi="Arial" w:cs="David"/>
                <w:snapToGrid w:val="0"/>
                <w:spacing w:val="0"/>
                <w:sz w:val="20"/>
                <w:szCs w:val="26"/>
                <w:vertAlign w:val="superscript"/>
                <w:rtl/>
              </w:rPr>
              <w:footnoteReference w:id="2"/>
            </w:r>
            <w:r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 xml:space="preserve">, בסעיף 10, בסופו יבוא </w:t>
            </w:r>
            <w:r w:rsidRPr="009B10F0"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>"מוסד לא יגבה במ</w:t>
            </w:r>
            <w:r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>סגרת הרישום ללימודים תשלום נוסף,</w:t>
            </w:r>
            <w:r w:rsidRPr="009B10F0">
              <w:rPr>
                <w:rFonts w:ascii="Arial" w:eastAsia="Arial Unicode MS" w:hAnsi="Arial" w:cs="David" w:hint="cs"/>
                <w:snapToGrid w:val="0"/>
                <w:spacing w:val="0"/>
                <w:sz w:val="20"/>
                <w:szCs w:val="26"/>
                <w:rtl/>
              </w:rPr>
              <w:t xml:space="preserve"> לרבות עבור ערכת רישום או כל שירות נוסף, על התשלום שהוא גובה בעד דמי הרישום האחידים."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ED54822" w14:textId="77777777" w:rsidR="00ED77CF" w:rsidRPr="009B10F0" w:rsidRDefault="00ED77CF" w:rsidP="00ED77CF">
      <w:pPr>
        <w:snapToGrid w:val="0"/>
        <w:spacing w:before="0" w:line="360" w:lineRule="auto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חוק זכויות הסטודנט, </w:t>
      </w:r>
      <w:proofErr w:type="spellStart"/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התשס"ז</w:t>
      </w:r>
      <w:proofErr w:type="spellEnd"/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–2007 (להלן – החוק), קובע, בין היתר, כי מוסד להשכלה גבוהה בישראל לא יגבה דמי רישום העולים על 350 שקלים. סכום זה צמוד למדד המחירים לצרכן שמפרסמת הלשכה המרכזית לסטטיסטיקה. נכון לשנת 20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 עמד התעריף הצמוד למדד, כאמור</w:t>
      </w: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על 414 שקלים. </w:t>
      </w:r>
    </w:p>
    <w:p w14:paraId="5067416C" w14:textId="0C0E6234" w:rsidR="00ED77CF" w:rsidRPr="009B10F0" w:rsidRDefault="00ED77CF" w:rsidP="00E95901">
      <w:pPr>
        <w:snapToGrid w:val="0"/>
        <w:spacing w:before="0" w:line="360" w:lineRule="auto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בשנים האחרונות אנו עדים לתופעה של פיצול הגבייה בעד דמי ההרשמה: ל"דמי רישום" </w:t>
      </w:r>
      <w:proofErr w:type="spellStart"/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ול"טפסי</w:t>
      </w:r>
      <w:proofErr w:type="spellEnd"/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הרשמה". באופן זה גובים מוסדות רבים </w:t>
      </w:r>
      <w:r w:rsidRPr="009B10F0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 xml:space="preserve">סכום הגבוה בעשרות ואף במאות שקלים </w:t>
      </w: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מהסכום המרבי המותר לפי</w:t>
      </w:r>
      <w:r w:rsidRPr="009B10F0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 xml:space="preserve"> החוק</w:t>
      </w: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. בפועל, מי שנפגע מגביית התשלומים הנוספים הם הסטודנטים, שהם לרוב בעלי הכנסות נמוכות,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ש</w:t>
      </w: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נאלצים להתמודד עם יוקר המחייה הגבוה. </w:t>
      </w:r>
    </w:p>
    <w:p w14:paraId="2445B822" w14:textId="77777777" w:rsidR="00ED77CF" w:rsidRPr="009B10F0" w:rsidRDefault="00ED77CF" w:rsidP="00ED77CF">
      <w:pPr>
        <w:snapToGrid w:val="0"/>
        <w:spacing w:before="0" w:line="360" w:lineRule="auto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תופעה זו, ש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לפיה</w:t>
      </w:r>
      <w:r w:rsidRPr="009B10F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מוסדות להשכלה גבוהה מפצלים את דמי ההרשמה ומתעלמים מהוראות החוק, היא פסולה מהיסוד. </w:t>
      </w:r>
    </w:p>
    <w:p w14:paraId="7F6961CB" w14:textId="73FBA50B" w:rsidR="00E13C27" w:rsidRDefault="00ED77CF" w:rsidP="00ED77CF">
      <w:pPr>
        <w:pStyle w:val="Hesber"/>
        <w:rPr>
          <w:rtl/>
        </w:rPr>
      </w:pPr>
      <w:r w:rsidRPr="009B10F0">
        <w:rPr>
          <w:rFonts w:hint="cs"/>
          <w:rtl/>
        </w:rPr>
        <w:t xml:space="preserve">לפיכך מוצע להבהיר במפורש בחוק כי כוונת המחוקק היא למנוע ממוסד להשכלה גבוהה לגבות במסגרת הרישום ללימודים </w:t>
      </w:r>
      <w:r w:rsidRPr="00C10808">
        <w:rPr>
          <w:rFonts w:hint="cs"/>
          <w:rtl/>
        </w:rPr>
        <w:t>תשלומים נוספים על</w:t>
      </w:r>
      <w:r w:rsidRPr="00C10808">
        <w:rPr>
          <w:rtl/>
        </w:rPr>
        <w:t xml:space="preserve"> ה</w:t>
      </w:r>
      <w:r w:rsidRPr="00C10808">
        <w:rPr>
          <w:rFonts w:hint="eastAsia"/>
          <w:rtl/>
        </w:rPr>
        <w:t>תשלום</w:t>
      </w:r>
      <w:r w:rsidRPr="00C10808">
        <w:rPr>
          <w:rtl/>
        </w:rPr>
        <w:t xml:space="preserve"> </w:t>
      </w:r>
      <w:r w:rsidRPr="00C10808">
        <w:rPr>
          <w:rFonts w:hint="eastAsia"/>
          <w:rtl/>
        </w:rPr>
        <w:t>שהוא</w:t>
      </w:r>
      <w:r w:rsidRPr="00C10808">
        <w:rPr>
          <w:rtl/>
        </w:rPr>
        <w:t xml:space="preserve"> </w:t>
      </w:r>
      <w:r w:rsidRPr="00C10808">
        <w:rPr>
          <w:rFonts w:hint="eastAsia"/>
          <w:rtl/>
        </w:rPr>
        <w:t>גובה</w:t>
      </w:r>
      <w:r w:rsidRPr="00C10808">
        <w:rPr>
          <w:rtl/>
        </w:rPr>
        <w:t xml:space="preserve"> </w:t>
      </w:r>
      <w:r w:rsidRPr="00C10808">
        <w:rPr>
          <w:rFonts w:hint="eastAsia"/>
          <w:rtl/>
        </w:rPr>
        <w:t>בעד</w:t>
      </w:r>
      <w:r w:rsidRPr="00C10808">
        <w:rPr>
          <w:rtl/>
        </w:rPr>
        <w:t xml:space="preserve"> </w:t>
      </w:r>
      <w:r w:rsidRPr="00C10808">
        <w:rPr>
          <w:rFonts w:hint="eastAsia"/>
          <w:rtl/>
        </w:rPr>
        <w:t>דמי</w:t>
      </w:r>
      <w:r w:rsidRPr="00C10808">
        <w:rPr>
          <w:rtl/>
        </w:rPr>
        <w:t xml:space="preserve"> </w:t>
      </w:r>
      <w:r w:rsidRPr="00C10808">
        <w:rPr>
          <w:rFonts w:hint="eastAsia"/>
          <w:rtl/>
        </w:rPr>
        <w:t>הרישום</w:t>
      </w:r>
      <w:r w:rsidRPr="00C10808">
        <w:rPr>
          <w:rtl/>
        </w:rPr>
        <w:t xml:space="preserve"> </w:t>
      </w:r>
      <w:r w:rsidRPr="00C10808">
        <w:rPr>
          <w:rFonts w:hint="eastAsia"/>
          <w:rtl/>
        </w:rPr>
        <w:t>האחידים</w:t>
      </w:r>
      <w:r w:rsidRPr="00C10808">
        <w:rPr>
          <w:rtl/>
        </w:rPr>
        <w:t>.</w:t>
      </w:r>
    </w:p>
    <w:p w14:paraId="144D4924" w14:textId="1EDA2EFF" w:rsidR="00ED77CF" w:rsidRDefault="00ED77CF" w:rsidP="00ED77CF">
      <w:pPr>
        <w:pStyle w:val="Hesber"/>
        <w:rPr>
          <w:rtl/>
        </w:rPr>
      </w:pPr>
      <w:r>
        <w:rPr>
          <w:rFonts w:hint="cs"/>
          <w:rtl/>
        </w:rPr>
        <w:t>הצעת חוק זהה הונחה על שולחן הכנסת העשרים על ידי חבר הכנסת איל בן ראובן וקבוצת חברי כנסת (פ/2605/20)</w:t>
      </w:r>
      <w:r w:rsidR="00E95901">
        <w:rPr>
          <w:rFonts w:hint="cs"/>
          <w:rtl/>
        </w:rPr>
        <w:t>, ועל שולחן הכנסת העשרים ושלוש על ידי חברת הכנסת קארין אלהרר (פ/1176/23).</w:t>
      </w:r>
    </w:p>
    <w:p w14:paraId="57D53386" w14:textId="77777777" w:rsidR="008A3D6E" w:rsidRDefault="008A3D6E" w:rsidP="008A3D6E">
      <w:pPr>
        <w:pStyle w:val="Hesber"/>
        <w:rPr>
          <w:rtl/>
        </w:rPr>
      </w:pPr>
      <w:bookmarkStart w:id="8" w:name="_GoBack"/>
      <w:r>
        <w:rPr>
          <w:rtl/>
        </w:rPr>
        <w:t>---------------------------------</w:t>
      </w:r>
    </w:p>
    <w:p w14:paraId="29267F56" w14:textId="77777777" w:rsidR="008A3D6E" w:rsidRDefault="008A3D6E" w:rsidP="008A3D6E">
      <w:pPr>
        <w:pStyle w:val="Hesber"/>
        <w:rPr>
          <w:rtl/>
        </w:rPr>
      </w:pPr>
      <w:r>
        <w:rPr>
          <w:rtl/>
        </w:rPr>
        <w:t>הוגשה ליו"ר הכנסת והסגנים</w:t>
      </w:r>
    </w:p>
    <w:p w14:paraId="44EFD00C" w14:textId="77777777" w:rsidR="008A3D6E" w:rsidRDefault="008A3D6E" w:rsidP="008A3D6E">
      <w:pPr>
        <w:pStyle w:val="Hesber"/>
        <w:rPr>
          <w:rtl/>
        </w:rPr>
      </w:pPr>
      <w:r>
        <w:rPr>
          <w:rtl/>
        </w:rPr>
        <w:t>והונחה על שולחן הכנסת ביום</w:t>
      </w:r>
    </w:p>
    <w:p w14:paraId="0CD8FB0A" w14:textId="3F0D32FA" w:rsidR="008A3D6E" w:rsidRDefault="008A3D6E" w:rsidP="008A3D6E">
      <w:pPr>
        <w:pStyle w:val="Hesber"/>
        <w:rPr>
          <w:rtl/>
        </w:rPr>
      </w:pPr>
      <w:r>
        <w:rPr>
          <w:rtl/>
        </w:rPr>
        <w:t xml:space="preserve">ו' בטבת </w:t>
      </w:r>
      <w:proofErr w:type="spellStart"/>
      <w:r>
        <w:rPr>
          <w:rtl/>
        </w:rPr>
        <w:t>התשפ"א</w:t>
      </w:r>
      <w:proofErr w:type="spellEnd"/>
      <w:r>
        <w:rPr>
          <w:rtl/>
        </w:rPr>
        <w:t xml:space="preserve"> - 21.12.20  </w:t>
      </w:r>
      <w:bookmarkEnd w:id="8"/>
    </w:p>
    <w:sectPr w:rsidR="008A3D6E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A3D6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E84DC6E" w14:textId="77777777" w:rsidR="00ED77CF" w:rsidRDefault="00ED77CF" w:rsidP="00ED77CF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התשס"ז</w:t>
      </w:r>
      <w:proofErr w:type="spellEnd"/>
      <w:r>
        <w:rPr>
          <w:rFonts w:hint="cs"/>
          <w:rtl/>
        </w:rPr>
        <w:t>, עמ' 320.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156F"/>
    <w:rsid w:val="00292712"/>
    <w:rsid w:val="002A487D"/>
    <w:rsid w:val="002C2E29"/>
    <w:rsid w:val="002C3041"/>
    <w:rsid w:val="002D1EE3"/>
    <w:rsid w:val="002F1D80"/>
    <w:rsid w:val="003232A2"/>
    <w:rsid w:val="00325C14"/>
    <w:rsid w:val="00327877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18A2"/>
    <w:rsid w:val="00553C9D"/>
    <w:rsid w:val="00562A66"/>
    <w:rsid w:val="00574694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3D6E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8030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95901"/>
    <w:rsid w:val="00EA01E6"/>
    <w:rsid w:val="00EA3DE8"/>
    <w:rsid w:val="00EA758F"/>
    <w:rsid w:val="00ED4A6F"/>
    <w:rsid w:val="00ED77C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E8AF4F8-5B29-484C-B47F-BF9ED22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B21705-76E0-431D-8530-5AAB52D47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C30C8-88F6-47FB-A878-7E431F8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11</cp:revision>
  <cp:lastPrinted>2013-07-04T08:25:00Z</cp:lastPrinted>
  <dcterms:created xsi:type="dcterms:W3CDTF">2015-04-20T09:58:00Z</dcterms:created>
  <dcterms:modified xsi:type="dcterms:W3CDTF">2020-12-16T08:36:00Z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2149292</vt:r8>
  </property>
</Properties>
</file>