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2149358</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ושלוש</w:t>
      </w:r>
      <w:bookmarkEnd w:id="1"/>
    </w:p>
    <w:p w14:paraId="7F6961A3" w14:textId="77777777" w:rsidR="00E13C27" w:rsidRPr="00F67051" w:rsidRDefault="00E13C27" w:rsidP="00E13C27">
      <w:pPr>
        <w:rPr>
          <w:b/>
          <w:bCs/>
          <w:sz w:val="26"/>
          <w:szCs w:val="26"/>
          <w:rtl/>
        </w:rPr>
      </w:pPr>
    </w:p>
    <w:p w14:paraId="7F6961A6" w14:textId="77777777" w:rsidR="00E13C27" w:rsidRDefault="008F6665" w:rsidP="00930EFE">
      <w:pPr>
        <w:pStyle w:val="David"/>
        <w:ind w:left="3544"/>
        <w:rPr>
          <w:b/>
          <w:bCs/>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היבה יזבק</w:t>
      </w:r>
      <w:r>
        <w:br/>
      </w:r>
      <w:r>
        <w:rPr>
          <w:rFonts w:hint="cs"/>
          <w:b/>
          <w:bCs/>
          <w:rtl/>
        </w:rPr>
        <w:t xml:space="preserve"> </w:t>
      </w:r>
      <w:r>
        <w:tab/>
      </w:r>
      <w:r>
        <w:tab/>
      </w:r>
      <w:r>
        <w:tab/>
      </w:r>
      <w:r>
        <w:tab/>
      </w:r>
      <w:r>
        <w:rPr>
          <w:rFonts w:hint="cs"/>
          <w:b/>
          <w:bCs/>
          <w:rtl/>
        </w:rPr>
        <w:t>אנטאנס שחאדה</w:t>
      </w:r>
      <w:r>
        <w:br/>
      </w:r>
      <w:r>
        <w:rPr>
          <w:rFonts w:hint="cs"/>
          <w:b/>
          <w:bCs/>
          <w:rtl/>
        </w:rPr>
        <w:t xml:space="preserve"> </w:t>
      </w:r>
      <w:r>
        <w:tab/>
      </w:r>
      <w:r>
        <w:tab/>
      </w:r>
      <w:r>
        <w:tab/>
      </w:r>
      <w:r>
        <w:tab/>
      </w:r>
      <w:r>
        <w:rPr>
          <w:rFonts w:hint="cs"/>
          <w:b/>
          <w:bCs/>
          <w:rtl/>
        </w:rPr>
        <w:t>סמי אבו שחאדה</w:t>
      </w:r>
      <w:r>
        <w:br/>
      </w:r>
      <w:r>
        <w:rPr>
          <w:rFonts w:hint="cs"/>
          <w:b/>
          <w:bCs/>
          <w:rtl/>
        </w:rPr>
        <w:t xml:space="preserve"> </w:t>
      </w:r>
      <w:r>
        <w:tab/>
      </w:r>
      <w:r>
        <w:tab/>
      </w:r>
      <w:r>
        <w:tab/>
      </w:r>
      <w:r>
        <w:tab/>
      </w:r>
      <w:r>
        <w:rPr>
          <w:rFonts w:hint="cs"/>
          <w:b/>
          <w:bCs/>
          <w:rtl/>
        </w:rPr>
        <w:t>איימן עודה</w:t>
      </w:r>
      <w:r>
        <w:br/>
      </w:r>
      <w:r>
        <w:rPr>
          <w:rFonts w:hint="cs"/>
          <w:b/>
          <w:bCs/>
          <w:rtl/>
        </w:rPr>
        <w:t xml:space="preserve"> </w:t>
      </w:r>
      <w:r>
        <w:tab/>
      </w:r>
      <w:r>
        <w:tab/>
      </w:r>
      <w:r>
        <w:tab/>
      </w:r>
      <w:r>
        <w:tab/>
      </w:r>
      <w:r>
        <w:rPr>
          <w:rFonts w:hint="cs"/>
          <w:b/>
          <w:bCs/>
          <w:rtl/>
        </w:rPr>
        <w:t>עופר כסיף</w:t>
      </w:r>
      <w:bookmarkEnd w:id="3"/>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C" w14:textId="55CAD0C4" w:rsidR="00E13C27" w:rsidRDefault="00904591" w:rsidP="00A41BCC">
      <w:pPr>
        <w:pStyle w:val="David"/>
        <w:spacing w:line="240" w:lineRule="auto"/>
        <w:ind w:left="3544"/>
        <w:rPr>
          <w:rtl/>
        </w:rPr>
      </w:pPr>
      <w:r>
        <w:t xml:space="preserve"> </w:t>
      </w:r>
      <w:bookmarkStart w:id="4" w:name="Private_Number"/>
      <w:r w:rsidR="00A41BCC">
        <w:rPr>
          <w:rtl/>
        </w:rPr>
        <w:tab/>
      </w:r>
      <w:r w:rsidR="00A41BCC">
        <w:rPr>
          <w:rtl/>
        </w:rPr>
        <w:tab/>
      </w:r>
      <w:r w:rsidR="00A41BCC">
        <w:rPr>
          <w:rtl/>
        </w:rPr>
        <w:tab/>
      </w:r>
      <w:r w:rsidR="00A41BCC">
        <w:rPr>
          <w:rtl/>
        </w:rPr>
        <w:tab/>
      </w:r>
      <w:r>
        <w:rPr>
          <w:rFonts w:hint="cs"/>
          <w:rtl/>
        </w:rPr>
        <w:t>פ/2594/23</w:t>
      </w:r>
      <w:bookmarkEnd w:id="4"/>
    </w:p>
    <w:p w14:paraId="7F6961AD" w14:textId="77777777" w:rsidR="00E13C27" w:rsidRPr="00F67051" w:rsidRDefault="00A443CF" w:rsidP="0021633A">
      <w:pPr>
        <w:pStyle w:val="HeadHatzaotHok"/>
        <w:rPr>
          <w:rtl/>
        </w:rPr>
      </w:pPr>
      <w:bookmarkStart w:id="5" w:name="LGS_Subject"/>
      <w:r>
        <w:rPr>
          <w:rFonts w:hint="cs"/>
          <w:rtl/>
        </w:rPr>
        <w:t>הצעת חוק הירושה (תיקון – פסלות לרשת ומניעת פעולות בנכסי העיזבון), התשפ"א–2020</w:t>
      </w:r>
      <w:bookmarkEnd w:id="5"/>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0"/>
        <w:gridCol w:w="624"/>
        <w:gridCol w:w="623"/>
        <w:gridCol w:w="6524"/>
      </w:tblGrid>
      <w:tr w:rsidR="00826F2E" w14:paraId="463AB31D" w14:textId="77777777" w:rsidTr="0083619A">
        <w:trPr>
          <w:cantSplit/>
        </w:trPr>
        <w:tc>
          <w:tcPr>
            <w:tcW w:w="1870" w:type="dxa"/>
          </w:tcPr>
          <w:p w14:paraId="410F6010" w14:textId="77777777" w:rsidR="00826F2E" w:rsidRPr="00826F2E" w:rsidRDefault="00826F2E" w:rsidP="00826F2E">
            <w:pPr>
              <w:pStyle w:val="TableSideHeading"/>
              <w:keepLines w:val="0"/>
            </w:pPr>
            <w:r w:rsidRPr="00826F2E">
              <w:rPr>
                <w:rtl/>
              </w:rPr>
              <w:t xml:space="preserve">תיקון סעיף 5 </w:t>
            </w:r>
          </w:p>
        </w:tc>
        <w:tc>
          <w:tcPr>
            <w:tcW w:w="624" w:type="dxa"/>
          </w:tcPr>
          <w:p w14:paraId="05E52DF7" w14:textId="77777777" w:rsidR="00826F2E" w:rsidRPr="00826F2E" w:rsidRDefault="00826F2E" w:rsidP="00826F2E">
            <w:pPr>
              <w:pStyle w:val="TableText"/>
              <w:keepLines w:val="0"/>
            </w:pPr>
            <w:r w:rsidRPr="00826F2E">
              <w:rPr>
                <w:rtl/>
              </w:rPr>
              <w:t>1.</w:t>
            </w:r>
          </w:p>
        </w:tc>
        <w:tc>
          <w:tcPr>
            <w:tcW w:w="7147" w:type="dxa"/>
            <w:gridSpan w:val="2"/>
          </w:tcPr>
          <w:p w14:paraId="442122A3" w14:textId="77777777" w:rsidR="00826F2E" w:rsidRPr="00826F2E" w:rsidRDefault="00826F2E" w:rsidP="00A41BCC">
            <w:pPr>
              <w:pStyle w:val="TableHead"/>
              <w:jc w:val="both"/>
              <w:outlineLvl w:val="9"/>
              <w:rPr>
                <w:b w:val="0"/>
                <w:bCs w:val="0"/>
              </w:rPr>
            </w:pPr>
            <w:r w:rsidRPr="00826F2E">
              <w:rPr>
                <w:b w:val="0"/>
                <w:bCs w:val="0"/>
                <w:rtl/>
              </w:rPr>
              <w:t>בחוק הירושה, התשכ"ה–1965</w:t>
            </w:r>
            <w:r w:rsidRPr="0083619A">
              <w:rPr>
                <w:rStyle w:val="a6"/>
                <w:rFonts w:ascii="David" w:hAnsi="David"/>
                <w:b w:val="0"/>
                <w:bCs w:val="0"/>
                <w:sz w:val="26"/>
                <w:rtl/>
              </w:rPr>
              <w:footnoteReference w:id="2"/>
            </w:r>
            <w:r w:rsidRPr="00826F2E">
              <w:rPr>
                <w:b w:val="0"/>
                <w:bCs w:val="0"/>
                <w:rtl/>
              </w:rPr>
              <w:t xml:space="preserve"> (להלן – החוק העיקרי)</w:t>
            </w:r>
            <w:r w:rsidRPr="00826F2E">
              <w:rPr>
                <w:rFonts w:hint="cs"/>
                <w:b w:val="0"/>
                <w:bCs w:val="0"/>
                <w:rtl/>
              </w:rPr>
              <w:t>,</w:t>
            </w:r>
            <w:r w:rsidRPr="00826F2E">
              <w:rPr>
                <w:b w:val="0"/>
                <w:bCs w:val="0"/>
                <w:rtl/>
              </w:rPr>
              <w:t xml:space="preserve"> בסעיף 5 – </w:t>
            </w:r>
          </w:p>
        </w:tc>
      </w:tr>
      <w:tr w:rsidR="00826F2E" w14:paraId="43292D0F" w14:textId="77777777" w:rsidTr="0083619A">
        <w:trPr>
          <w:cantSplit/>
        </w:trPr>
        <w:tc>
          <w:tcPr>
            <w:tcW w:w="1870" w:type="dxa"/>
          </w:tcPr>
          <w:p w14:paraId="54F62897" w14:textId="77777777" w:rsidR="00826F2E" w:rsidRPr="00826F2E" w:rsidRDefault="00826F2E" w:rsidP="00826F2E">
            <w:pPr>
              <w:pStyle w:val="TableSideHeading"/>
              <w:keepLines w:val="0"/>
            </w:pPr>
          </w:p>
        </w:tc>
        <w:tc>
          <w:tcPr>
            <w:tcW w:w="624" w:type="dxa"/>
          </w:tcPr>
          <w:p w14:paraId="02800685" w14:textId="77777777" w:rsidR="00826F2E" w:rsidRPr="00826F2E" w:rsidRDefault="00826F2E" w:rsidP="00826F2E">
            <w:pPr>
              <w:pStyle w:val="TableText"/>
              <w:keepLines w:val="0"/>
            </w:pPr>
          </w:p>
        </w:tc>
        <w:tc>
          <w:tcPr>
            <w:tcW w:w="7147" w:type="dxa"/>
            <w:gridSpan w:val="2"/>
          </w:tcPr>
          <w:p w14:paraId="0486D1BF" w14:textId="77777777" w:rsidR="00826F2E" w:rsidRPr="0083619A" w:rsidRDefault="00826F2E" w:rsidP="0083619A">
            <w:pPr>
              <w:pStyle w:val="TableBlock"/>
            </w:pPr>
            <w:r w:rsidRPr="0083619A">
              <w:rPr>
                <w:rtl/>
              </w:rPr>
              <w:t>(1)</w:t>
            </w:r>
            <w:r w:rsidRPr="0083619A">
              <w:rPr>
                <w:rtl/>
              </w:rPr>
              <w:tab/>
              <w:t>בסעיף קטן (א), אחרי פסקה (2) יבוא:</w:t>
            </w:r>
          </w:p>
        </w:tc>
      </w:tr>
      <w:tr w:rsidR="00826F2E" w:rsidRPr="00826F2E" w14:paraId="7F36545E" w14:textId="77777777" w:rsidTr="0083619A">
        <w:tblPrEx>
          <w:tblLook w:val="04A0" w:firstRow="1" w:lastRow="0" w:firstColumn="1" w:lastColumn="0" w:noHBand="0" w:noVBand="1"/>
        </w:tblPrEx>
        <w:trPr>
          <w:cantSplit/>
        </w:trPr>
        <w:tc>
          <w:tcPr>
            <w:tcW w:w="1870" w:type="dxa"/>
          </w:tcPr>
          <w:p w14:paraId="1DB26A6A" w14:textId="77777777" w:rsidR="00826F2E" w:rsidRPr="00826F2E" w:rsidRDefault="00826F2E" w:rsidP="00826F2E">
            <w:pPr>
              <w:pStyle w:val="TableSideHeading"/>
            </w:pPr>
          </w:p>
        </w:tc>
        <w:tc>
          <w:tcPr>
            <w:tcW w:w="624" w:type="dxa"/>
          </w:tcPr>
          <w:p w14:paraId="60A9241F" w14:textId="77777777" w:rsidR="00826F2E" w:rsidRPr="00826F2E" w:rsidRDefault="00826F2E" w:rsidP="00826F2E">
            <w:pPr>
              <w:pStyle w:val="TableText"/>
            </w:pPr>
          </w:p>
        </w:tc>
        <w:tc>
          <w:tcPr>
            <w:tcW w:w="623" w:type="dxa"/>
          </w:tcPr>
          <w:p w14:paraId="53DB9B44" w14:textId="77777777" w:rsidR="00826F2E" w:rsidRPr="00826F2E" w:rsidRDefault="00826F2E" w:rsidP="00826F2E">
            <w:pPr>
              <w:pStyle w:val="TableText"/>
            </w:pPr>
          </w:p>
        </w:tc>
        <w:tc>
          <w:tcPr>
            <w:tcW w:w="6524" w:type="dxa"/>
            <w:hideMark/>
          </w:tcPr>
          <w:p w14:paraId="2AE07006" w14:textId="77777777" w:rsidR="00826F2E" w:rsidRPr="00826F2E" w:rsidRDefault="00826F2E" w:rsidP="0083619A">
            <w:pPr>
              <w:pStyle w:val="TableBlock"/>
              <w:rPr>
                <w:sz w:val="26"/>
              </w:rPr>
            </w:pPr>
            <w:r w:rsidRPr="00826F2E">
              <w:rPr>
                <w:sz w:val="26"/>
                <w:rtl/>
              </w:rPr>
              <w:t>"(3)</w:t>
            </w:r>
            <w:r w:rsidRPr="00826F2E">
              <w:rPr>
                <w:sz w:val="26"/>
                <w:rtl/>
              </w:rPr>
              <w:tab/>
              <w:t>מי שנקבע, ברמת ההוכחה הנדרשת במשפט אזרחי, בפני בית המשפט, כי גרם במתכוון למותו של המוריש</w:t>
            </w:r>
            <w:r w:rsidRPr="00826F2E">
              <w:rPr>
                <w:rFonts w:hint="cs"/>
                <w:sz w:val="26"/>
                <w:rtl/>
              </w:rPr>
              <w:t xml:space="preserve"> או שניסה לגרום למותו</w:t>
            </w:r>
            <w:r w:rsidRPr="00826F2E">
              <w:rPr>
                <w:sz w:val="26"/>
                <w:rtl/>
              </w:rPr>
              <w:t>.";</w:t>
            </w:r>
          </w:p>
        </w:tc>
      </w:tr>
      <w:tr w:rsidR="00826F2E" w:rsidRPr="00826F2E" w14:paraId="3E67C083" w14:textId="77777777" w:rsidTr="0083619A">
        <w:tblPrEx>
          <w:tblLook w:val="04A0" w:firstRow="1" w:lastRow="0" w:firstColumn="1" w:lastColumn="0" w:noHBand="0" w:noVBand="1"/>
        </w:tblPrEx>
        <w:trPr>
          <w:cantSplit/>
        </w:trPr>
        <w:tc>
          <w:tcPr>
            <w:tcW w:w="1870" w:type="dxa"/>
          </w:tcPr>
          <w:p w14:paraId="624F9135" w14:textId="77777777" w:rsidR="00826F2E" w:rsidRPr="00826F2E" w:rsidRDefault="00826F2E" w:rsidP="00826F2E">
            <w:pPr>
              <w:pStyle w:val="TableSideHeading"/>
            </w:pPr>
          </w:p>
        </w:tc>
        <w:tc>
          <w:tcPr>
            <w:tcW w:w="624" w:type="dxa"/>
          </w:tcPr>
          <w:p w14:paraId="21829039" w14:textId="77777777" w:rsidR="00826F2E" w:rsidRPr="00826F2E" w:rsidRDefault="00826F2E" w:rsidP="00826F2E">
            <w:pPr>
              <w:pStyle w:val="TableText"/>
            </w:pPr>
          </w:p>
        </w:tc>
        <w:tc>
          <w:tcPr>
            <w:tcW w:w="7147" w:type="dxa"/>
            <w:gridSpan w:val="2"/>
            <w:hideMark/>
          </w:tcPr>
          <w:p w14:paraId="28E398C0" w14:textId="77777777" w:rsidR="00826F2E" w:rsidRPr="00826F2E" w:rsidRDefault="00826F2E" w:rsidP="0083619A">
            <w:pPr>
              <w:pStyle w:val="TableBlock"/>
            </w:pPr>
            <w:r w:rsidRPr="00826F2E">
              <w:rPr>
                <w:sz w:val="26"/>
                <w:rtl/>
              </w:rPr>
              <w:t>(2)</w:t>
            </w:r>
            <w:r w:rsidRPr="00826F2E">
              <w:rPr>
                <w:sz w:val="26"/>
                <w:rtl/>
              </w:rPr>
              <w:tab/>
              <w:t>אחרי סעיף קטן (ב) יבוא:</w:t>
            </w:r>
          </w:p>
        </w:tc>
      </w:tr>
      <w:tr w:rsidR="00826F2E" w:rsidRPr="00826F2E" w14:paraId="2A6AF0B1" w14:textId="77777777" w:rsidTr="0083619A">
        <w:tblPrEx>
          <w:tblLook w:val="04A0" w:firstRow="1" w:lastRow="0" w:firstColumn="1" w:lastColumn="0" w:noHBand="0" w:noVBand="1"/>
        </w:tblPrEx>
        <w:trPr>
          <w:cantSplit/>
        </w:trPr>
        <w:tc>
          <w:tcPr>
            <w:tcW w:w="1870" w:type="dxa"/>
          </w:tcPr>
          <w:p w14:paraId="2D51355C" w14:textId="77777777" w:rsidR="00826F2E" w:rsidRPr="00826F2E" w:rsidRDefault="00826F2E" w:rsidP="00826F2E">
            <w:pPr>
              <w:pStyle w:val="TableSideHeading"/>
            </w:pPr>
          </w:p>
        </w:tc>
        <w:tc>
          <w:tcPr>
            <w:tcW w:w="624" w:type="dxa"/>
          </w:tcPr>
          <w:p w14:paraId="1F78E71C" w14:textId="77777777" w:rsidR="00826F2E" w:rsidRPr="00826F2E" w:rsidRDefault="00826F2E" w:rsidP="00826F2E">
            <w:pPr>
              <w:pStyle w:val="TableText"/>
            </w:pPr>
          </w:p>
        </w:tc>
        <w:tc>
          <w:tcPr>
            <w:tcW w:w="623" w:type="dxa"/>
          </w:tcPr>
          <w:p w14:paraId="7C46EB18" w14:textId="77777777" w:rsidR="00826F2E" w:rsidRPr="00826F2E" w:rsidRDefault="00826F2E" w:rsidP="00826F2E">
            <w:pPr>
              <w:pStyle w:val="TableText"/>
            </w:pPr>
          </w:p>
        </w:tc>
        <w:tc>
          <w:tcPr>
            <w:tcW w:w="6524" w:type="dxa"/>
          </w:tcPr>
          <w:p w14:paraId="47B5F453" w14:textId="77777777" w:rsidR="00826F2E" w:rsidRPr="00826F2E" w:rsidRDefault="00826F2E" w:rsidP="0083619A">
            <w:pPr>
              <w:pStyle w:val="TableBlock"/>
              <w:rPr>
                <w:rtl/>
              </w:rPr>
            </w:pPr>
            <w:r w:rsidRPr="00826F2E">
              <w:rPr>
                <w:rFonts w:hint="cs"/>
                <w:rtl/>
              </w:rPr>
              <w:t>"</w:t>
            </w:r>
            <w:r w:rsidRPr="00826F2E">
              <w:rPr>
                <w:rtl/>
              </w:rPr>
              <w:t>(</w:t>
            </w:r>
            <w:r w:rsidRPr="00826F2E">
              <w:rPr>
                <w:rFonts w:hint="cs"/>
                <w:rtl/>
              </w:rPr>
              <w:t>ג</w:t>
            </w:r>
            <w:r w:rsidRPr="00826F2E">
              <w:rPr>
                <w:rtl/>
              </w:rPr>
              <w:t>)</w:t>
            </w:r>
            <w:r w:rsidRPr="00826F2E">
              <w:rPr>
                <w:rtl/>
              </w:rPr>
              <w:tab/>
              <w:t>בסעיף זה, "הורשע" – לרבות נאשם שבית המשפט קבע כי ביצע את העבירה, או</w:t>
            </w:r>
            <w:r w:rsidRPr="00826F2E">
              <w:rPr>
                <w:rFonts w:hint="cs"/>
                <w:rtl/>
              </w:rPr>
              <w:t xml:space="preserve"> נאשם</w:t>
            </w:r>
            <w:r w:rsidRPr="00826F2E">
              <w:rPr>
                <w:rtl/>
              </w:rPr>
              <w:t xml:space="preserve"> שבית המשפט מצא כי עשה את מעשה העבירה לפי סעיף 15(ב) לחוק טיפול בחולי נפש, התשנ"א–1991</w:t>
            </w:r>
            <w:r w:rsidRPr="0083619A">
              <w:rPr>
                <w:rStyle w:val="a6"/>
                <w:rFonts w:ascii="David" w:hAnsi="David"/>
                <w:sz w:val="26"/>
                <w:rtl/>
              </w:rPr>
              <w:footnoteReference w:id="3"/>
            </w:r>
            <w:r w:rsidRPr="00826F2E">
              <w:rPr>
                <w:rtl/>
              </w:rPr>
              <w:t>."</w:t>
            </w:r>
          </w:p>
        </w:tc>
      </w:tr>
      <w:tr w:rsidR="00826F2E" w:rsidRPr="00826F2E" w14:paraId="44C01659" w14:textId="77777777" w:rsidTr="0083619A">
        <w:tblPrEx>
          <w:tblLook w:val="04A0" w:firstRow="1" w:lastRow="0" w:firstColumn="1" w:lastColumn="0" w:noHBand="0" w:noVBand="1"/>
        </w:tblPrEx>
        <w:trPr>
          <w:cantSplit/>
        </w:trPr>
        <w:tc>
          <w:tcPr>
            <w:tcW w:w="1870" w:type="dxa"/>
            <w:hideMark/>
          </w:tcPr>
          <w:p w14:paraId="63A0764A" w14:textId="77777777" w:rsidR="00826F2E" w:rsidRPr="00826F2E" w:rsidRDefault="00826F2E" w:rsidP="00826F2E">
            <w:pPr>
              <w:pStyle w:val="TableSideHeading"/>
              <w:rPr>
                <w:sz w:val="26"/>
              </w:rPr>
            </w:pPr>
            <w:r w:rsidRPr="00826F2E">
              <w:rPr>
                <w:sz w:val="26"/>
                <w:rtl/>
              </w:rPr>
              <w:t xml:space="preserve"> תיקון סעיף 7</w:t>
            </w:r>
          </w:p>
        </w:tc>
        <w:tc>
          <w:tcPr>
            <w:tcW w:w="624" w:type="dxa"/>
            <w:hideMark/>
          </w:tcPr>
          <w:p w14:paraId="1DE6D35F" w14:textId="77777777" w:rsidR="00826F2E" w:rsidRPr="00826F2E" w:rsidRDefault="00826F2E" w:rsidP="00826F2E">
            <w:pPr>
              <w:pStyle w:val="TableText"/>
              <w:rPr>
                <w:sz w:val="26"/>
              </w:rPr>
            </w:pPr>
            <w:r w:rsidRPr="00826F2E">
              <w:rPr>
                <w:sz w:val="26"/>
                <w:rtl/>
              </w:rPr>
              <w:t>2.</w:t>
            </w:r>
          </w:p>
        </w:tc>
        <w:tc>
          <w:tcPr>
            <w:tcW w:w="7147" w:type="dxa"/>
            <w:gridSpan w:val="2"/>
            <w:hideMark/>
          </w:tcPr>
          <w:p w14:paraId="3B4798DC" w14:textId="77777777" w:rsidR="00826F2E" w:rsidRPr="00826F2E" w:rsidRDefault="00826F2E" w:rsidP="0083619A">
            <w:pPr>
              <w:pStyle w:val="TableBlock"/>
              <w:rPr>
                <w:sz w:val="26"/>
              </w:rPr>
            </w:pPr>
            <w:r w:rsidRPr="00826F2E">
              <w:rPr>
                <w:sz w:val="26"/>
                <w:rtl/>
              </w:rPr>
              <w:t>בסעיף 7 לחוק העיקרי, אחרי סעיף קטן (א) יבוא:</w:t>
            </w:r>
          </w:p>
        </w:tc>
      </w:tr>
      <w:tr w:rsidR="00826F2E" w14:paraId="407711E3" w14:textId="77777777" w:rsidTr="0083619A">
        <w:tblPrEx>
          <w:tblLook w:val="04A0" w:firstRow="1" w:lastRow="0" w:firstColumn="1" w:lastColumn="0" w:noHBand="0" w:noVBand="1"/>
        </w:tblPrEx>
        <w:trPr>
          <w:cantSplit/>
        </w:trPr>
        <w:tc>
          <w:tcPr>
            <w:tcW w:w="1870" w:type="dxa"/>
          </w:tcPr>
          <w:p w14:paraId="182639CA" w14:textId="77777777" w:rsidR="00826F2E" w:rsidRPr="00826F2E" w:rsidRDefault="00826F2E" w:rsidP="00826F2E">
            <w:pPr>
              <w:pStyle w:val="TableSideHeading"/>
              <w:rPr>
                <w:sz w:val="26"/>
              </w:rPr>
            </w:pPr>
          </w:p>
        </w:tc>
        <w:tc>
          <w:tcPr>
            <w:tcW w:w="624" w:type="dxa"/>
          </w:tcPr>
          <w:p w14:paraId="0D83AB9D" w14:textId="77777777" w:rsidR="00826F2E" w:rsidRPr="00826F2E" w:rsidRDefault="00826F2E" w:rsidP="00826F2E">
            <w:pPr>
              <w:pStyle w:val="TableText"/>
              <w:rPr>
                <w:sz w:val="26"/>
              </w:rPr>
            </w:pPr>
          </w:p>
        </w:tc>
        <w:tc>
          <w:tcPr>
            <w:tcW w:w="7147" w:type="dxa"/>
            <w:gridSpan w:val="2"/>
            <w:hideMark/>
          </w:tcPr>
          <w:p w14:paraId="0F5B667A" w14:textId="77777777" w:rsidR="00826F2E" w:rsidRPr="00826F2E" w:rsidRDefault="00826F2E" w:rsidP="0083619A">
            <w:pPr>
              <w:pStyle w:val="TableBlock"/>
              <w:rPr>
                <w:sz w:val="26"/>
              </w:rPr>
            </w:pPr>
            <w:r w:rsidRPr="00826F2E">
              <w:rPr>
                <w:sz w:val="26"/>
                <w:rtl/>
              </w:rPr>
              <w:t>"(א1)</w:t>
            </w:r>
            <w:r w:rsidRPr="00826F2E">
              <w:rPr>
                <w:sz w:val="26"/>
                <w:rtl/>
              </w:rPr>
              <w:tab/>
              <w:t>על אף האמור בסעיף קטן (א), נחקר או נעצר אדם בחשד לגרימת מותו במתכוון</w:t>
            </w:r>
            <w:r w:rsidRPr="00826F2E">
              <w:rPr>
                <w:rFonts w:hint="cs"/>
                <w:sz w:val="26"/>
                <w:rtl/>
              </w:rPr>
              <w:t>, או בניסיון לגרום למותו</w:t>
            </w:r>
            <w:r w:rsidRPr="00826F2E">
              <w:rPr>
                <w:sz w:val="26"/>
                <w:rtl/>
              </w:rPr>
              <w:t xml:space="preserve"> של המוריש או שנטען בהליך אזרחי שהוא פסול מלרשת את המוריש בנסיבות כאמור בסעיף 5(</w:t>
            </w:r>
            <w:r w:rsidRPr="00826F2E">
              <w:rPr>
                <w:rFonts w:hint="cs"/>
                <w:sz w:val="26"/>
                <w:rtl/>
              </w:rPr>
              <w:t>א)(3)</w:t>
            </w:r>
            <w:r w:rsidRPr="00826F2E">
              <w:rPr>
                <w:sz w:val="26"/>
                <w:rtl/>
              </w:rPr>
              <w:t xml:space="preserve">, </w:t>
            </w:r>
            <w:r w:rsidRPr="00826F2E">
              <w:rPr>
                <w:rFonts w:hint="cs"/>
                <w:sz w:val="26"/>
                <w:rtl/>
              </w:rPr>
              <w:t>לא יהיה רשאי היורש לבצע כל</w:t>
            </w:r>
            <w:r w:rsidRPr="00826F2E">
              <w:rPr>
                <w:sz w:val="26"/>
                <w:rtl/>
              </w:rPr>
              <w:t xml:space="preserve"> פעולה ב</w:t>
            </w:r>
            <w:r w:rsidRPr="00826F2E">
              <w:rPr>
                <w:rFonts w:hint="cs"/>
                <w:sz w:val="26"/>
                <w:rtl/>
              </w:rPr>
              <w:t>נכסי העיזבון</w:t>
            </w:r>
            <w:r w:rsidRPr="00826F2E">
              <w:rPr>
                <w:sz w:val="26"/>
                <w:rtl/>
              </w:rPr>
              <w:t>, לרבות משיכה, העברה, מכירה, הענקת מתנה, שעבוד, עיקול או עסקה אחרת שיש בה כדי לשנות את מצב הזכויות בנכסים, עד ל</w:t>
            </w:r>
            <w:r w:rsidRPr="00826F2E">
              <w:rPr>
                <w:rFonts w:hint="cs"/>
                <w:sz w:val="26"/>
                <w:rtl/>
              </w:rPr>
              <w:t>החלטה שלא להעמידו לדין לפי סעיף 62 לחוק סדר הדין הפלילי,  [נוסח משולב], התשמ"ב</w:t>
            </w:r>
            <w:r w:rsidRPr="00826F2E">
              <w:rPr>
                <w:rFonts w:hint="eastAsia"/>
                <w:sz w:val="26"/>
                <w:rtl/>
              </w:rPr>
              <w:t>–</w:t>
            </w:r>
            <w:r w:rsidRPr="00826F2E">
              <w:rPr>
                <w:rFonts w:hint="cs"/>
                <w:sz w:val="26"/>
                <w:rtl/>
              </w:rPr>
              <w:t>1982</w:t>
            </w:r>
            <w:r w:rsidRPr="0083619A">
              <w:rPr>
                <w:rStyle w:val="a6"/>
                <w:rFonts w:ascii="David" w:hAnsi="David"/>
                <w:sz w:val="26"/>
                <w:rtl/>
              </w:rPr>
              <w:footnoteReference w:id="4"/>
            </w:r>
            <w:r w:rsidRPr="00826F2E">
              <w:rPr>
                <w:rFonts w:hint="cs"/>
                <w:sz w:val="26"/>
                <w:rtl/>
              </w:rPr>
              <w:t>, עד ל</w:t>
            </w:r>
            <w:r w:rsidRPr="00826F2E">
              <w:rPr>
                <w:sz w:val="26"/>
                <w:rtl/>
              </w:rPr>
              <w:t>הכרעת הדין בהליך הפלילי או עד להחלטת בית המשפט כאמור בסעיף 5(</w:t>
            </w:r>
            <w:r w:rsidRPr="00826F2E">
              <w:rPr>
                <w:rFonts w:hint="cs"/>
                <w:sz w:val="26"/>
                <w:rtl/>
              </w:rPr>
              <w:t>א)(3)</w:t>
            </w:r>
            <w:r w:rsidRPr="00826F2E">
              <w:rPr>
                <w:sz w:val="26"/>
                <w:rtl/>
              </w:rPr>
              <w:t xml:space="preserve">, לפי העניין." </w:t>
            </w:r>
          </w:p>
        </w:tc>
      </w:tr>
    </w:tbl>
    <w:p w14:paraId="7F6961CA" w14:textId="77777777" w:rsidR="002D1EE3" w:rsidRPr="00331AC1" w:rsidRDefault="002D1EE3" w:rsidP="0083619A">
      <w:pPr>
        <w:pStyle w:val="HeadDivreiHesber"/>
        <w:rPr>
          <w:rtl/>
        </w:rPr>
      </w:pPr>
      <w:r w:rsidRPr="00331AC1">
        <w:rPr>
          <w:rFonts w:hint="eastAsia"/>
          <w:rtl/>
        </w:rPr>
        <w:lastRenderedPageBreak/>
        <w:t>דברי</w:t>
      </w:r>
      <w:r w:rsidRPr="00331AC1">
        <w:rPr>
          <w:rtl/>
        </w:rPr>
        <w:t xml:space="preserve"> </w:t>
      </w:r>
      <w:r w:rsidRPr="00331AC1">
        <w:rPr>
          <w:rFonts w:hint="eastAsia"/>
          <w:rtl/>
        </w:rPr>
        <w:t>הסבר</w:t>
      </w:r>
    </w:p>
    <w:p w14:paraId="059A3B29" w14:textId="5358F909" w:rsidR="00826F2E" w:rsidRPr="00331AC1" w:rsidRDefault="00826F2E" w:rsidP="0083619A">
      <w:pPr>
        <w:pStyle w:val="Hesber"/>
        <w:rPr>
          <w:rtl/>
        </w:rPr>
      </w:pPr>
      <w:r w:rsidRPr="00331AC1">
        <w:rPr>
          <w:rtl/>
        </w:rPr>
        <w:t>בשנים האחרונות רבים המקרים שבהם רוצח אדם את בן זוגו</w:t>
      </w:r>
      <w:r w:rsidR="00331AC1">
        <w:rPr>
          <w:rFonts w:hint="cs"/>
          <w:rtl/>
        </w:rPr>
        <w:t>,</w:t>
      </w:r>
      <w:r w:rsidR="00331AC1" w:rsidRPr="00331AC1">
        <w:rPr>
          <w:rtl/>
        </w:rPr>
        <w:t xml:space="preserve"> </w:t>
      </w:r>
      <w:r w:rsidR="00331AC1">
        <w:rPr>
          <w:rFonts w:hint="cs"/>
          <w:rtl/>
        </w:rPr>
        <w:t>ו</w:t>
      </w:r>
      <w:r w:rsidRPr="00331AC1">
        <w:rPr>
          <w:rtl/>
        </w:rPr>
        <w:t>ברוב המקרים מדובר בגבר שהורג את בת זוגו</w:t>
      </w:r>
      <w:r w:rsidR="00331AC1">
        <w:rPr>
          <w:rFonts w:hint="cs"/>
          <w:rtl/>
        </w:rPr>
        <w:t>,</w:t>
      </w:r>
      <w:r w:rsidR="00331AC1" w:rsidRPr="00331AC1">
        <w:rPr>
          <w:rtl/>
        </w:rPr>
        <w:t xml:space="preserve"> </w:t>
      </w:r>
      <w:r w:rsidRPr="00331AC1">
        <w:rPr>
          <w:rtl/>
        </w:rPr>
        <w:t>יש</w:t>
      </w:r>
      <w:r w:rsidR="00331AC1">
        <w:rPr>
          <w:rFonts w:hint="cs"/>
          <w:rtl/>
        </w:rPr>
        <w:t>נם</w:t>
      </w:r>
      <w:r w:rsidRPr="00331AC1">
        <w:rPr>
          <w:rtl/>
        </w:rPr>
        <w:t xml:space="preserve"> מקרים שבהם נקבע כי הרוצח אינו כשיר לעמוד לדין</w:t>
      </w:r>
      <w:r w:rsidR="00331AC1">
        <w:rPr>
          <w:rFonts w:hint="cs"/>
          <w:rtl/>
        </w:rPr>
        <w:t>,</w:t>
      </w:r>
      <w:r w:rsidRPr="00331AC1">
        <w:rPr>
          <w:rtl/>
        </w:rPr>
        <w:t xml:space="preserve"> </w:t>
      </w:r>
      <w:r w:rsidR="00331AC1">
        <w:rPr>
          <w:rFonts w:hint="cs"/>
          <w:rtl/>
        </w:rPr>
        <w:t>ו</w:t>
      </w:r>
      <w:r w:rsidRPr="00331AC1">
        <w:rPr>
          <w:rtl/>
        </w:rPr>
        <w:t xml:space="preserve">במקרים אחרים מתאבד הרוצח לאחר המעשה. </w:t>
      </w:r>
      <w:r w:rsidR="00331AC1">
        <w:rPr>
          <w:rFonts w:hint="cs"/>
          <w:rtl/>
        </w:rPr>
        <w:t>לאור כך, יש צורך בבחינת הסדרי הירושה הקיימים בחקיקה.</w:t>
      </w:r>
    </w:p>
    <w:p w14:paraId="08DC4101" w14:textId="749E4282" w:rsidR="00826F2E" w:rsidRPr="00331AC1" w:rsidRDefault="00826F2E" w:rsidP="0083619A">
      <w:pPr>
        <w:pStyle w:val="Hesber"/>
        <w:rPr>
          <w:rtl/>
        </w:rPr>
      </w:pPr>
      <w:r w:rsidRPr="00331AC1">
        <w:rPr>
          <w:rtl/>
        </w:rPr>
        <w:t xml:space="preserve">סעיף 5 לחוק הירושה, </w:t>
      </w:r>
      <w:r w:rsidRPr="00331AC1">
        <w:rPr>
          <w:rFonts w:hint="eastAsia"/>
          <w:rtl/>
        </w:rPr>
        <w:t>התשכ</w:t>
      </w:r>
      <w:r w:rsidRPr="00331AC1">
        <w:rPr>
          <w:rtl/>
        </w:rPr>
        <w:t>"ה</w:t>
      </w:r>
      <w:r w:rsidRPr="00331AC1">
        <w:rPr>
          <w:rFonts w:hint="eastAsia"/>
          <w:rtl/>
        </w:rPr>
        <w:t>–</w:t>
      </w:r>
      <w:r w:rsidRPr="00331AC1">
        <w:rPr>
          <w:rtl/>
        </w:rPr>
        <w:t xml:space="preserve">1965 (להלן </w:t>
      </w:r>
      <w:r w:rsidRPr="00331AC1">
        <w:rPr>
          <w:rFonts w:hint="eastAsia"/>
          <w:rtl/>
        </w:rPr>
        <w:t>–</w:t>
      </w:r>
      <w:r w:rsidRPr="00331AC1">
        <w:rPr>
          <w:rtl/>
        </w:rPr>
        <w:t xml:space="preserve"> </w:t>
      </w:r>
      <w:r w:rsidRPr="00331AC1">
        <w:rPr>
          <w:rFonts w:hint="eastAsia"/>
          <w:rtl/>
        </w:rPr>
        <w:t>החוק</w:t>
      </w:r>
      <w:r w:rsidRPr="00331AC1">
        <w:rPr>
          <w:rtl/>
        </w:rPr>
        <w:t>), קובע כי מי שהורשע</w:t>
      </w:r>
      <w:r w:rsidR="00331AC1">
        <w:rPr>
          <w:rFonts w:hint="cs"/>
          <w:rtl/>
        </w:rPr>
        <w:t xml:space="preserve"> </w:t>
      </w:r>
      <w:r w:rsidRPr="00331AC1">
        <w:rPr>
          <w:rtl/>
        </w:rPr>
        <w:t xml:space="preserve"> </w:t>
      </w:r>
      <w:r w:rsidR="00331AC1">
        <w:rPr>
          <w:rFonts w:hint="cs"/>
          <w:rtl/>
        </w:rPr>
        <w:t>ב</w:t>
      </w:r>
      <w:r w:rsidRPr="00331AC1">
        <w:rPr>
          <w:rtl/>
        </w:rPr>
        <w:t>גר</w:t>
      </w:r>
      <w:r w:rsidR="00331AC1">
        <w:rPr>
          <w:rFonts w:hint="cs"/>
          <w:rtl/>
        </w:rPr>
        <w:t>ימה</w:t>
      </w:r>
      <w:r w:rsidRPr="00331AC1">
        <w:rPr>
          <w:rtl/>
        </w:rPr>
        <w:t xml:space="preserve"> במתכוון למותו של המוריש או שניסה לגרום למותו</w:t>
      </w:r>
      <w:r w:rsidR="00331AC1">
        <w:rPr>
          <w:rFonts w:hint="cs"/>
          <w:rtl/>
        </w:rPr>
        <w:t>,</w:t>
      </w:r>
      <w:r w:rsidRPr="00331AC1">
        <w:rPr>
          <w:rtl/>
        </w:rPr>
        <w:t xml:space="preserve"> פסול מלרשת את המוריש. במקרים שבהם נקבע כי האדם אינו כשיר לעמוד לדין ובמקרים בהם הרוצח מתאבד – לא תהיה הרשעה והסעיף לא יחול. </w:t>
      </w:r>
    </w:p>
    <w:p w14:paraId="04B6842E" w14:textId="77777777" w:rsidR="00826F2E" w:rsidRPr="00331AC1" w:rsidRDefault="00826F2E" w:rsidP="0083619A">
      <w:pPr>
        <w:pStyle w:val="Hesber"/>
        <w:rPr>
          <w:rtl/>
        </w:rPr>
      </w:pPr>
      <w:r w:rsidRPr="00331AC1">
        <w:rPr>
          <w:rtl/>
        </w:rPr>
        <w:t>התיקון המוצע בסעיף 5 לחוק נועד לפסול את אותו אדם, גם אם לא הורשע, ובלבד שבית המשפט מצא כי גרם במתכוון למותו של המוריש, לרשת את נכסי המוריש. במקרה שהרוצח התאבד, הדבר ימנע מיורשיו בדין של המתאבד (</w:t>
      </w:r>
      <w:r w:rsidRPr="00331AC1">
        <w:rPr>
          <w:rFonts w:hint="eastAsia"/>
          <w:rtl/>
        </w:rPr>
        <w:t>אם</w:t>
      </w:r>
      <w:r w:rsidRPr="00331AC1">
        <w:rPr>
          <w:rtl/>
        </w:rPr>
        <w:t xml:space="preserve"> למוריש אין צאצאים) ליהנות מנכסי המוריש שחייו קופדו בידי היורש.</w:t>
      </w:r>
    </w:p>
    <w:p w14:paraId="68F990C1" w14:textId="7DD9C46A" w:rsidR="00826F2E" w:rsidRPr="00331AC1" w:rsidRDefault="00826F2E" w:rsidP="0083619A">
      <w:pPr>
        <w:pStyle w:val="Hesber"/>
        <w:rPr>
          <w:rtl/>
        </w:rPr>
      </w:pPr>
      <w:r w:rsidRPr="00331AC1">
        <w:rPr>
          <w:rtl/>
        </w:rPr>
        <w:t xml:space="preserve">תיקון סעיף 7 לחוק נועד לתת משנה תוקף </w:t>
      </w:r>
      <w:r w:rsidR="00331AC1" w:rsidRPr="00331AC1">
        <w:rPr>
          <w:rtl/>
        </w:rPr>
        <w:t>ל</w:t>
      </w:r>
      <w:r w:rsidR="00331AC1">
        <w:rPr>
          <w:rFonts w:hint="cs"/>
          <w:rtl/>
        </w:rPr>
        <w:t>תיקון</w:t>
      </w:r>
      <w:r w:rsidR="00331AC1" w:rsidRPr="00331AC1">
        <w:rPr>
          <w:rtl/>
        </w:rPr>
        <w:t xml:space="preserve"> </w:t>
      </w:r>
      <w:r w:rsidRPr="00331AC1">
        <w:rPr>
          <w:rtl/>
        </w:rPr>
        <w:t xml:space="preserve">סעיף 5, ולמנוע גם </w:t>
      </w:r>
      <w:r w:rsidR="00331AC1" w:rsidRPr="00331AC1">
        <w:rPr>
          <w:rtl/>
        </w:rPr>
        <w:t>מ</w:t>
      </w:r>
      <w:r w:rsidR="00331AC1">
        <w:rPr>
          <w:rFonts w:hint="cs"/>
          <w:rtl/>
        </w:rPr>
        <w:t>אדם</w:t>
      </w:r>
      <w:r w:rsidR="00331AC1" w:rsidRPr="00331AC1">
        <w:rPr>
          <w:rtl/>
        </w:rPr>
        <w:t xml:space="preserve"> </w:t>
      </w:r>
      <w:r w:rsidRPr="00331AC1">
        <w:rPr>
          <w:rtl/>
        </w:rPr>
        <w:t xml:space="preserve">שנחקר או נעצר בשל חשד לגרימת מותו במתכוון, </w:t>
      </w:r>
      <w:r w:rsidRPr="00331AC1">
        <w:rPr>
          <w:rFonts w:hint="eastAsia"/>
          <w:rtl/>
        </w:rPr>
        <w:t>או</w:t>
      </w:r>
      <w:r w:rsidRPr="00331AC1">
        <w:rPr>
          <w:rtl/>
        </w:rPr>
        <w:t xml:space="preserve"> </w:t>
      </w:r>
      <w:r w:rsidRPr="00331AC1">
        <w:rPr>
          <w:rFonts w:hint="eastAsia"/>
          <w:rtl/>
        </w:rPr>
        <w:t>לניסיון</w:t>
      </w:r>
      <w:r w:rsidRPr="00331AC1">
        <w:rPr>
          <w:rtl/>
        </w:rPr>
        <w:t xml:space="preserve"> </w:t>
      </w:r>
      <w:r w:rsidRPr="00331AC1">
        <w:rPr>
          <w:rFonts w:hint="eastAsia"/>
          <w:rtl/>
        </w:rPr>
        <w:t>לגרום</w:t>
      </w:r>
      <w:r w:rsidRPr="00331AC1">
        <w:rPr>
          <w:rtl/>
        </w:rPr>
        <w:t xml:space="preserve"> </w:t>
      </w:r>
      <w:r w:rsidRPr="00331AC1">
        <w:rPr>
          <w:rFonts w:hint="eastAsia"/>
          <w:rtl/>
        </w:rPr>
        <w:t>למותו</w:t>
      </w:r>
      <w:r w:rsidRPr="00331AC1">
        <w:rPr>
          <w:rtl/>
        </w:rPr>
        <w:t xml:space="preserve">, של בן </w:t>
      </w:r>
      <w:r w:rsidRPr="00331AC1">
        <w:rPr>
          <w:rFonts w:hint="eastAsia"/>
          <w:rtl/>
        </w:rPr>
        <w:t>משפחתו</w:t>
      </w:r>
      <w:r w:rsidRPr="00331AC1">
        <w:rPr>
          <w:rtl/>
        </w:rPr>
        <w:t xml:space="preserve"> וטרם הורשע בהליך הפלילי, מלפעול לשינוי מצב הזכויות בנכסים המשותפים, שאותם יהא זכאי לרשת, בהתאם לאמור בחוק הירושה</w:t>
      </w:r>
      <w:r w:rsidR="008221AF">
        <w:rPr>
          <w:rFonts w:hint="cs"/>
          <w:rtl/>
        </w:rPr>
        <w:t xml:space="preserve">. לפי התיקון אדם זה יהיה זכאי לזכויות אלה </w:t>
      </w:r>
      <w:r w:rsidRPr="00331AC1">
        <w:rPr>
          <w:rtl/>
        </w:rPr>
        <w:t xml:space="preserve">רק אם בסופו של ההליך הפלילי לא יורשע בגרימת מותו במתכוון של המוריש או אם לא נקבע כך ברמת ההוכחה הנדרשת במשפט אזרחי. </w:t>
      </w:r>
    </w:p>
    <w:p w14:paraId="49333738" w14:textId="77777777" w:rsidR="00826F2E" w:rsidRPr="00331AC1" w:rsidRDefault="00826F2E" w:rsidP="0083619A">
      <w:pPr>
        <w:pStyle w:val="Hesber"/>
        <w:rPr>
          <w:rtl/>
        </w:rPr>
      </w:pPr>
      <w:r w:rsidRPr="00331AC1">
        <w:rPr>
          <w:rtl/>
        </w:rPr>
        <w:t xml:space="preserve">הצעת חוק זו הוכנה </w:t>
      </w:r>
      <w:r w:rsidRPr="00331AC1">
        <w:rPr>
          <w:rFonts w:hint="eastAsia"/>
          <w:rtl/>
        </w:rPr>
        <w:t>בסיוע</w:t>
      </w:r>
      <w:r w:rsidRPr="00331AC1">
        <w:rPr>
          <w:rtl/>
        </w:rPr>
        <w:t xml:space="preserve"> מרכז נגה למען נפגעי עבירה, הקריה האקדמית אונו.</w:t>
      </w:r>
    </w:p>
    <w:p w14:paraId="4CDA49E4" w14:textId="6978EEF9" w:rsidR="00826F2E" w:rsidRDefault="00826F2E" w:rsidP="0083619A">
      <w:pPr>
        <w:pStyle w:val="Hesber"/>
        <w:rPr>
          <w:rtl/>
        </w:rPr>
      </w:pPr>
      <w:r w:rsidRPr="00331AC1">
        <w:rPr>
          <w:rtl/>
        </w:rPr>
        <w:t xml:space="preserve">הצעת חוק </w:t>
      </w:r>
      <w:r w:rsidR="008221AF">
        <w:rPr>
          <w:rFonts w:hint="cs"/>
          <w:rtl/>
        </w:rPr>
        <w:t>זהה</w:t>
      </w:r>
      <w:r w:rsidRPr="00331AC1">
        <w:rPr>
          <w:rtl/>
        </w:rPr>
        <w:t xml:space="preserve"> הונח</w:t>
      </w:r>
      <w:r w:rsidR="008221AF">
        <w:rPr>
          <w:rFonts w:hint="cs"/>
          <w:rtl/>
        </w:rPr>
        <w:t>ה</w:t>
      </w:r>
      <w:r w:rsidRPr="00331AC1">
        <w:rPr>
          <w:rtl/>
        </w:rPr>
        <w:t xml:space="preserve"> </w:t>
      </w:r>
      <w:r w:rsidRPr="00331AC1">
        <w:rPr>
          <w:rFonts w:hint="eastAsia"/>
          <w:rtl/>
        </w:rPr>
        <w:t>על</w:t>
      </w:r>
      <w:r w:rsidRPr="00331AC1">
        <w:rPr>
          <w:rtl/>
        </w:rPr>
        <w:t xml:space="preserve"> </w:t>
      </w:r>
      <w:r w:rsidRPr="00331AC1">
        <w:rPr>
          <w:rFonts w:hint="eastAsia"/>
          <w:rtl/>
        </w:rPr>
        <w:t>שולחן</w:t>
      </w:r>
      <w:r w:rsidRPr="00331AC1">
        <w:rPr>
          <w:rtl/>
        </w:rPr>
        <w:t xml:space="preserve"> </w:t>
      </w:r>
      <w:r w:rsidRPr="00331AC1">
        <w:rPr>
          <w:rFonts w:hint="eastAsia"/>
          <w:rtl/>
        </w:rPr>
        <w:t>הכנסת</w:t>
      </w:r>
      <w:r w:rsidRPr="00331AC1">
        <w:rPr>
          <w:rtl/>
        </w:rPr>
        <w:t xml:space="preserve"> </w:t>
      </w:r>
      <w:r w:rsidRPr="00331AC1">
        <w:rPr>
          <w:rFonts w:hint="eastAsia"/>
          <w:rtl/>
        </w:rPr>
        <w:t>העשרים</w:t>
      </w:r>
      <w:r w:rsidRPr="00331AC1">
        <w:rPr>
          <w:rtl/>
        </w:rPr>
        <w:t xml:space="preserve"> </w:t>
      </w:r>
      <w:r w:rsidRPr="00331AC1">
        <w:rPr>
          <w:rFonts w:hint="eastAsia"/>
          <w:rtl/>
        </w:rPr>
        <w:t>על</w:t>
      </w:r>
      <w:r w:rsidRPr="00331AC1">
        <w:rPr>
          <w:rtl/>
        </w:rPr>
        <w:t xml:space="preserve"> </w:t>
      </w:r>
      <w:r w:rsidRPr="00331AC1">
        <w:rPr>
          <w:rFonts w:hint="eastAsia"/>
          <w:rtl/>
        </w:rPr>
        <w:t>ידי</w:t>
      </w:r>
      <w:r w:rsidRPr="00331AC1">
        <w:rPr>
          <w:rtl/>
        </w:rPr>
        <w:t xml:space="preserve"> </w:t>
      </w:r>
      <w:r w:rsidRPr="00331AC1">
        <w:rPr>
          <w:rFonts w:hint="eastAsia"/>
          <w:rtl/>
        </w:rPr>
        <w:t>חברת</w:t>
      </w:r>
      <w:r w:rsidRPr="00331AC1">
        <w:rPr>
          <w:rtl/>
        </w:rPr>
        <w:t xml:space="preserve"> </w:t>
      </w:r>
      <w:r w:rsidRPr="00331AC1">
        <w:rPr>
          <w:rFonts w:hint="eastAsia"/>
          <w:rtl/>
        </w:rPr>
        <w:t>הכנסת</w:t>
      </w:r>
      <w:r w:rsidRPr="00331AC1">
        <w:rPr>
          <w:rtl/>
        </w:rPr>
        <w:t xml:space="preserve"> </w:t>
      </w:r>
      <w:r w:rsidRPr="00331AC1">
        <w:rPr>
          <w:rFonts w:hint="eastAsia"/>
          <w:rtl/>
        </w:rPr>
        <w:t>זהבה</w:t>
      </w:r>
      <w:r w:rsidRPr="00331AC1">
        <w:rPr>
          <w:rtl/>
        </w:rPr>
        <w:t xml:space="preserve"> </w:t>
      </w:r>
      <w:r w:rsidRPr="00331AC1">
        <w:rPr>
          <w:rFonts w:hint="eastAsia"/>
          <w:rtl/>
        </w:rPr>
        <w:t>גלאון</w:t>
      </w:r>
      <w:r w:rsidRPr="00331AC1">
        <w:rPr>
          <w:rtl/>
        </w:rPr>
        <w:t xml:space="preserve"> </w:t>
      </w:r>
      <w:r w:rsidRPr="00331AC1">
        <w:rPr>
          <w:rFonts w:hint="eastAsia"/>
          <w:rtl/>
        </w:rPr>
        <w:t>וקבוצת</w:t>
      </w:r>
      <w:r w:rsidRPr="00331AC1">
        <w:rPr>
          <w:rtl/>
        </w:rPr>
        <w:t xml:space="preserve"> </w:t>
      </w:r>
      <w:r w:rsidRPr="00331AC1">
        <w:rPr>
          <w:rFonts w:hint="eastAsia"/>
          <w:rtl/>
        </w:rPr>
        <w:t>חברי</w:t>
      </w:r>
      <w:r w:rsidRPr="00331AC1">
        <w:rPr>
          <w:rtl/>
        </w:rPr>
        <w:t xml:space="preserve"> </w:t>
      </w:r>
      <w:r w:rsidRPr="00331AC1">
        <w:rPr>
          <w:rFonts w:hint="eastAsia"/>
          <w:rtl/>
        </w:rPr>
        <w:t>הכנסת</w:t>
      </w:r>
      <w:r w:rsidRPr="00331AC1">
        <w:rPr>
          <w:rtl/>
        </w:rPr>
        <w:t xml:space="preserve"> (פ/1550/20).</w:t>
      </w:r>
    </w:p>
    <w:p w14:paraId="60B7DD59" w14:textId="77777777" w:rsidR="00A41BCC" w:rsidRDefault="00A41BCC" w:rsidP="0083619A">
      <w:pPr>
        <w:pStyle w:val="Hesber"/>
        <w:rPr>
          <w:rtl/>
        </w:rPr>
      </w:pPr>
    </w:p>
    <w:p w14:paraId="684D9DE1" w14:textId="77777777" w:rsidR="00A41BCC" w:rsidRPr="00D73212" w:rsidRDefault="00A41BCC" w:rsidP="00A41BCC">
      <w:pPr>
        <w:pStyle w:val="Hesber"/>
        <w:rPr>
          <w:rtl/>
        </w:rPr>
      </w:pPr>
      <w:r w:rsidRPr="00D73212">
        <w:rPr>
          <w:rtl/>
        </w:rPr>
        <w:t>---------------------------------</w:t>
      </w:r>
    </w:p>
    <w:p w14:paraId="04AEA7C5" w14:textId="77777777" w:rsidR="00A41BCC" w:rsidRPr="00D73212" w:rsidRDefault="00A41BCC" w:rsidP="00A41BCC">
      <w:pPr>
        <w:pStyle w:val="Hesber"/>
        <w:rPr>
          <w:rtl/>
        </w:rPr>
      </w:pPr>
      <w:r w:rsidRPr="00D73212">
        <w:rPr>
          <w:rFonts w:hint="cs"/>
          <w:rtl/>
        </w:rPr>
        <w:t>הוגשה</w:t>
      </w:r>
      <w:r w:rsidRPr="00D73212">
        <w:rPr>
          <w:rtl/>
        </w:rPr>
        <w:t xml:space="preserve"> </w:t>
      </w:r>
      <w:r w:rsidRPr="00D73212">
        <w:rPr>
          <w:rFonts w:hint="cs"/>
          <w:rtl/>
        </w:rPr>
        <w:t>ליו</w:t>
      </w:r>
      <w:r w:rsidRPr="00D73212">
        <w:rPr>
          <w:rtl/>
        </w:rPr>
        <w:t>"</w:t>
      </w:r>
      <w:r w:rsidRPr="00D73212">
        <w:rPr>
          <w:rFonts w:hint="cs"/>
          <w:rtl/>
        </w:rPr>
        <w:t>ר</w:t>
      </w:r>
      <w:r w:rsidRPr="00D73212">
        <w:rPr>
          <w:rtl/>
        </w:rPr>
        <w:t xml:space="preserve"> </w:t>
      </w:r>
      <w:r w:rsidRPr="00D73212">
        <w:rPr>
          <w:rFonts w:hint="cs"/>
          <w:rtl/>
        </w:rPr>
        <w:t>הכנסת</w:t>
      </w:r>
      <w:r w:rsidRPr="00D73212">
        <w:rPr>
          <w:rtl/>
        </w:rPr>
        <w:t xml:space="preserve"> </w:t>
      </w:r>
      <w:r w:rsidRPr="00D73212">
        <w:rPr>
          <w:rFonts w:hint="cs"/>
          <w:rtl/>
        </w:rPr>
        <w:t>והסגנים</w:t>
      </w:r>
    </w:p>
    <w:p w14:paraId="3B66DAAD" w14:textId="77777777" w:rsidR="00A41BCC" w:rsidRPr="00D73212" w:rsidRDefault="00A41BCC" w:rsidP="00A41BCC">
      <w:pPr>
        <w:pStyle w:val="Hesber"/>
        <w:rPr>
          <w:rtl/>
        </w:rPr>
      </w:pPr>
      <w:r w:rsidRPr="00D73212">
        <w:rPr>
          <w:rFonts w:hint="cs"/>
          <w:rtl/>
        </w:rPr>
        <w:t>והונחה</w:t>
      </w:r>
      <w:r w:rsidRPr="00D73212">
        <w:rPr>
          <w:rtl/>
        </w:rPr>
        <w:t xml:space="preserve"> </w:t>
      </w:r>
      <w:r w:rsidRPr="00D73212">
        <w:rPr>
          <w:rFonts w:hint="cs"/>
          <w:rtl/>
        </w:rPr>
        <w:t>על</w:t>
      </w:r>
      <w:r w:rsidRPr="00D73212">
        <w:rPr>
          <w:rtl/>
        </w:rPr>
        <w:t xml:space="preserve"> </w:t>
      </w:r>
      <w:r w:rsidRPr="00D73212">
        <w:rPr>
          <w:rFonts w:hint="cs"/>
          <w:rtl/>
        </w:rPr>
        <w:t>שולחן</w:t>
      </w:r>
      <w:r w:rsidRPr="00D73212">
        <w:rPr>
          <w:rtl/>
        </w:rPr>
        <w:t xml:space="preserve"> </w:t>
      </w:r>
      <w:r w:rsidRPr="00D73212">
        <w:rPr>
          <w:rFonts w:hint="cs"/>
          <w:rtl/>
        </w:rPr>
        <w:t>הכנסת</w:t>
      </w:r>
      <w:r w:rsidRPr="00D73212">
        <w:rPr>
          <w:rtl/>
        </w:rPr>
        <w:t xml:space="preserve"> </w:t>
      </w:r>
      <w:r w:rsidRPr="00D73212">
        <w:rPr>
          <w:rFonts w:hint="cs"/>
          <w:rtl/>
        </w:rPr>
        <w:t>ביום</w:t>
      </w:r>
    </w:p>
    <w:p w14:paraId="73DFFBD5" w14:textId="77777777" w:rsidR="00A41BCC" w:rsidRPr="00317312" w:rsidRDefault="00A41BCC" w:rsidP="00A41BCC">
      <w:pPr>
        <w:pStyle w:val="Hesber"/>
      </w:pPr>
      <w:r>
        <w:rPr>
          <w:rFonts w:hint="cs"/>
          <w:rtl/>
        </w:rPr>
        <w:t xml:space="preserve">ו' בטבת התשפ"א </w:t>
      </w:r>
      <w:r w:rsidRPr="00D73212">
        <w:rPr>
          <w:rtl/>
        </w:rPr>
        <w:t>–</w:t>
      </w:r>
      <w:r>
        <w:rPr>
          <w:rFonts w:hint="cs"/>
          <w:rtl/>
        </w:rPr>
        <w:t xml:space="preserve"> 21.12</w:t>
      </w:r>
      <w:r w:rsidRPr="00D73212">
        <w:rPr>
          <w:rtl/>
        </w:rPr>
        <w:t>.</w:t>
      </w:r>
      <w:r>
        <w:rPr>
          <w:rFonts w:hint="cs"/>
          <w:rtl/>
        </w:rPr>
        <w:t xml:space="preserve">20  </w:t>
      </w:r>
    </w:p>
    <w:p w14:paraId="08B379A0" w14:textId="77777777" w:rsidR="00A41BCC" w:rsidRPr="00331AC1" w:rsidRDefault="00A41BCC" w:rsidP="0083619A">
      <w:pPr>
        <w:pStyle w:val="Hesber"/>
        <w:rPr>
          <w:rtl/>
        </w:rPr>
      </w:pPr>
      <w:bookmarkStart w:id="6" w:name="_GoBack"/>
      <w:bookmarkEnd w:id="6"/>
    </w:p>
    <w:p w14:paraId="7F6961CB" w14:textId="77777777" w:rsidR="00E13C27" w:rsidRPr="00331AC1" w:rsidRDefault="00E13C27" w:rsidP="0083619A">
      <w:pPr>
        <w:pStyle w:val="Hesber"/>
        <w:rPr>
          <w:rtl/>
        </w:rPr>
      </w:pPr>
    </w:p>
    <w:sectPr w:rsidR="00E13C27" w:rsidRPr="00331AC1" w:rsidSect="0083619A">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A41BCC">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83619A">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32F61AD1" w14:textId="77777777" w:rsidR="00826F2E" w:rsidRDefault="00826F2E" w:rsidP="00826F2E">
      <w:pPr>
        <w:pStyle w:val="a4"/>
      </w:pPr>
      <w:r>
        <w:rPr>
          <w:rStyle w:val="a6"/>
        </w:rPr>
        <w:footnoteRef/>
      </w:r>
      <w:r>
        <w:rPr>
          <w:sz w:val="20"/>
          <w:rtl/>
        </w:rPr>
        <w:t xml:space="preserve">  ס"ח התשכ"ה, עמ' 63.</w:t>
      </w:r>
    </w:p>
  </w:footnote>
  <w:footnote w:id="3">
    <w:p w14:paraId="266F863D" w14:textId="77777777" w:rsidR="00826F2E" w:rsidRDefault="00826F2E" w:rsidP="00826F2E">
      <w:pPr>
        <w:pStyle w:val="a4"/>
      </w:pPr>
      <w:r>
        <w:rPr>
          <w:rStyle w:val="a6"/>
        </w:rPr>
        <w:footnoteRef/>
      </w:r>
      <w:r>
        <w:rPr>
          <w:rtl/>
        </w:rPr>
        <w:t xml:space="preserve"> ס"ח התשנ"א, עמ' 5</w:t>
      </w:r>
      <w:r>
        <w:rPr>
          <w:rFonts w:hint="cs"/>
          <w:rtl/>
        </w:rPr>
        <w:t>8</w:t>
      </w:r>
      <w:r>
        <w:rPr>
          <w:rtl/>
        </w:rPr>
        <w:t xml:space="preserve">. </w:t>
      </w:r>
    </w:p>
  </w:footnote>
  <w:footnote w:id="4">
    <w:p w14:paraId="1F7DA27C" w14:textId="77777777" w:rsidR="00826F2E" w:rsidRDefault="00826F2E" w:rsidP="00826F2E">
      <w:pPr>
        <w:pStyle w:val="a4"/>
        <w:rPr>
          <w:rtl/>
        </w:rPr>
      </w:pPr>
      <w:r>
        <w:rPr>
          <w:rStyle w:val="a6"/>
        </w:rPr>
        <w:footnoteRef/>
      </w:r>
      <w:r>
        <w:rPr>
          <w:rtl/>
        </w:rPr>
        <w:t xml:space="preserve"> </w:t>
      </w:r>
      <w:r>
        <w:rPr>
          <w:rFonts w:hint="cs"/>
          <w:rtl/>
        </w:rPr>
        <w:t>ס"ח התשמ"ב, עמ' 43.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31AC1"/>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221AF"/>
    <w:rsid w:val="00826F2E"/>
    <w:rsid w:val="0083181D"/>
    <w:rsid w:val="0083619A"/>
    <w:rsid w:val="00843EB2"/>
    <w:rsid w:val="00865572"/>
    <w:rsid w:val="00874BBC"/>
    <w:rsid w:val="00892135"/>
    <w:rsid w:val="00895449"/>
    <w:rsid w:val="00897879"/>
    <w:rsid w:val="008A6870"/>
    <w:rsid w:val="008C1A8C"/>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1BCC"/>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184B2CE9-3016-4F3B-B196-B51130C2F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1AC1"/>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331AC1"/>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331AC1"/>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331AC1"/>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331AC1"/>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331AC1"/>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331AC1"/>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331AC1"/>
    <w:rPr>
      <w:sz w:val="36"/>
      <w:szCs w:val="52"/>
    </w:rPr>
  </w:style>
  <w:style w:type="paragraph" w:customStyle="1" w:styleId="Cover3-Haknesset">
    <w:name w:val="Cover 3-Haknesset"/>
    <w:basedOn w:val="Cover1-Reshumot"/>
    <w:rsid w:val="00331AC1"/>
    <w:rPr>
      <w:b/>
      <w:bCs/>
      <w:spacing w:val="60"/>
    </w:rPr>
  </w:style>
  <w:style w:type="paragraph" w:customStyle="1" w:styleId="Cover4-Date">
    <w:name w:val="Cover 4-Date"/>
    <w:basedOn w:val="a"/>
    <w:rsid w:val="00331AC1"/>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331AC1"/>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331AC1"/>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331AC1"/>
    <w:pPr>
      <w:spacing w:before="120" w:after="120"/>
    </w:pPr>
    <w:rPr>
      <w:color w:val="FF0000"/>
      <w:w w:val="80"/>
    </w:rPr>
  </w:style>
  <w:style w:type="paragraph" w:styleId="a3">
    <w:name w:val="endnote text"/>
    <w:basedOn w:val="a"/>
    <w:semiHidden/>
    <w:rsid w:val="00331AC1"/>
    <w:pPr>
      <w:ind w:left="227" w:hanging="227"/>
    </w:pPr>
    <w:rPr>
      <w:sz w:val="14"/>
      <w:szCs w:val="22"/>
    </w:rPr>
  </w:style>
  <w:style w:type="paragraph" w:customStyle="1" w:styleId="TableText">
    <w:name w:val="Table Text"/>
    <w:basedOn w:val="a"/>
    <w:rsid w:val="00331AC1"/>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331AC1"/>
    <w:pPr>
      <w:outlineLvl w:val="2"/>
    </w:pPr>
  </w:style>
  <w:style w:type="paragraph" w:customStyle="1" w:styleId="TableBlock">
    <w:name w:val="Table Block"/>
    <w:basedOn w:val="TableText"/>
    <w:rsid w:val="00331AC1"/>
    <w:pPr>
      <w:jc w:val="both"/>
    </w:pPr>
  </w:style>
  <w:style w:type="paragraph" w:customStyle="1" w:styleId="TableHead">
    <w:name w:val="Table Head"/>
    <w:basedOn w:val="TableText"/>
    <w:rsid w:val="00331AC1"/>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331AC1"/>
    <w:pPr>
      <w:outlineLvl w:val="9"/>
    </w:pPr>
  </w:style>
  <w:style w:type="paragraph" w:customStyle="1" w:styleId="Hesber">
    <w:name w:val="Hesber"/>
    <w:basedOn w:val="a"/>
    <w:rsid w:val="00331AC1"/>
    <w:pPr>
      <w:snapToGrid w:val="0"/>
      <w:ind w:left="0" w:firstLine="340"/>
    </w:pPr>
    <w:rPr>
      <w:rFonts w:ascii="Arial" w:eastAsia="Arial Unicode MS" w:hAnsi="Arial"/>
      <w:snapToGrid w:val="0"/>
      <w:sz w:val="20"/>
      <w:szCs w:val="26"/>
    </w:rPr>
  </w:style>
  <w:style w:type="paragraph" w:styleId="a4">
    <w:name w:val="footnote text"/>
    <w:basedOn w:val="a"/>
    <w:link w:val="a5"/>
    <w:autoRedefine/>
    <w:semiHidden/>
    <w:rsid w:val="00331AC1"/>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semiHidden/>
    <w:rsid w:val="00331AC1"/>
    <w:rPr>
      <w:vertAlign w:val="superscript"/>
    </w:rPr>
  </w:style>
  <w:style w:type="paragraph" w:customStyle="1" w:styleId="HesberHeading">
    <w:name w:val="Hesber Heading"/>
    <w:basedOn w:val="Hesber"/>
    <w:rsid w:val="00331AC1"/>
    <w:pPr>
      <w:tabs>
        <w:tab w:val="left" w:pos="624"/>
        <w:tab w:val="left" w:pos="1247"/>
      </w:tabs>
    </w:pPr>
    <w:rPr>
      <w:b/>
      <w:bCs/>
    </w:rPr>
  </w:style>
  <w:style w:type="paragraph" w:customStyle="1" w:styleId="HesberWriters">
    <w:name w:val="Hesber Writers"/>
    <w:basedOn w:val="Hesber"/>
    <w:rsid w:val="00331AC1"/>
    <w:pPr>
      <w:spacing w:before="120" w:after="120"/>
      <w:ind w:left="1418"/>
      <w:jc w:val="right"/>
    </w:pPr>
    <w:rPr>
      <w:b/>
      <w:bCs/>
    </w:rPr>
  </w:style>
  <w:style w:type="paragraph" w:customStyle="1" w:styleId="Hesber1st">
    <w:name w:val="Hesber 1st"/>
    <w:basedOn w:val="Hesber"/>
    <w:rsid w:val="00331AC1"/>
    <w:pPr>
      <w:tabs>
        <w:tab w:val="left" w:pos="680"/>
        <w:tab w:val="left" w:pos="1020"/>
      </w:tabs>
      <w:ind w:firstLine="0"/>
    </w:pPr>
  </w:style>
  <w:style w:type="character" w:styleId="a7">
    <w:name w:val="endnote reference"/>
    <w:basedOn w:val="a0"/>
    <w:semiHidden/>
    <w:rsid w:val="00331AC1"/>
    <w:rPr>
      <w:vertAlign w:val="superscript"/>
    </w:rPr>
  </w:style>
  <w:style w:type="paragraph" w:customStyle="1" w:styleId="TableBlockOutdent">
    <w:name w:val="Table BlockOutdent"/>
    <w:basedOn w:val="TableBlock"/>
    <w:rsid w:val="00331AC1"/>
    <w:pPr>
      <w:ind w:left="624" w:hanging="624"/>
    </w:pPr>
  </w:style>
  <w:style w:type="paragraph" w:styleId="a8">
    <w:name w:val="header"/>
    <w:basedOn w:val="a"/>
    <w:rsid w:val="00331AC1"/>
    <w:pPr>
      <w:tabs>
        <w:tab w:val="center" w:pos="4153"/>
        <w:tab w:val="right" w:pos="8306"/>
      </w:tabs>
    </w:pPr>
  </w:style>
  <w:style w:type="paragraph" w:styleId="a9">
    <w:name w:val="footer"/>
    <w:basedOn w:val="a"/>
    <w:rsid w:val="00331AC1"/>
    <w:pPr>
      <w:tabs>
        <w:tab w:val="center" w:pos="4153"/>
        <w:tab w:val="right" w:pos="8306"/>
      </w:tabs>
    </w:pPr>
  </w:style>
  <w:style w:type="paragraph" w:customStyle="1" w:styleId="HeadDivreiHesber">
    <w:name w:val="Head DivreiHesber"/>
    <w:basedOn w:val="a"/>
    <w:rsid w:val="00331AC1"/>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331AC1"/>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331AC1"/>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link w:val="a4"/>
    <w:semiHidden/>
    <w:locked/>
    <w:rsid w:val="00826F2E"/>
    <w:rPr>
      <w:rFonts w:ascii="Arial" w:eastAsia="Arial Unicode MS" w:hAnsi="Arial" w:cs="David"/>
      <w:snapToGrid w:val="0"/>
      <w:sz w:val="14"/>
    </w:rPr>
  </w:style>
  <w:style w:type="character" w:customStyle="1" w:styleId="10">
    <w:name w:val="כותרת 1 תו"/>
    <w:basedOn w:val="a0"/>
    <w:link w:val="1"/>
    <w:uiPriority w:val="9"/>
    <w:rsid w:val="00331AC1"/>
    <w:rPr>
      <w:rFonts w:asciiTheme="majorHAnsi" w:eastAsiaTheme="majorEastAsia" w:hAnsiTheme="majorHAnsi" w:cs="David"/>
      <w:bCs/>
      <w:sz w:val="32"/>
      <w:szCs w:val="36"/>
    </w:rPr>
  </w:style>
  <w:style w:type="character" w:customStyle="1" w:styleId="20">
    <w:name w:val="כותרת 2 תו"/>
    <w:basedOn w:val="a0"/>
    <w:link w:val="2"/>
    <w:rsid w:val="00331AC1"/>
    <w:rPr>
      <w:rFonts w:asciiTheme="majorHAnsi" w:eastAsiaTheme="majorEastAsia" w:hAnsiTheme="majorHAnsi" w:cs="David"/>
      <w:bCs/>
      <w:sz w:val="26"/>
      <w:szCs w:val="36"/>
      <w:u w:val="single"/>
    </w:rPr>
  </w:style>
  <w:style w:type="character" w:customStyle="1" w:styleId="30">
    <w:name w:val="כותרת 3 תו"/>
    <w:basedOn w:val="a0"/>
    <w:link w:val="3"/>
    <w:rsid w:val="00331AC1"/>
    <w:rPr>
      <w:rFonts w:asciiTheme="majorHAnsi" w:eastAsiaTheme="majorEastAsia" w:hAnsiTheme="majorHAnsi" w:cs="David"/>
      <w:sz w:val="24"/>
      <w:szCs w:val="28"/>
      <w:u w:val="double"/>
    </w:rPr>
  </w:style>
  <w:style w:type="character" w:customStyle="1" w:styleId="40">
    <w:name w:val="כותרת 4 תו"/>
    <w:basedOn w:val="a0"/>
    <w:link w:val="4"/>
    <w:uiPriority w:val="9"/>
    <w:rsid w:val="00331AC1"/>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331AC1"/>
    <w:rPr>
      <w:rFonts w:ascii="David" w:eastAsiaTheme="minorHAnsi" w:hAnsi="David" w:cs="David"/>
      <w:color w:val="000000" w:themeColor="text1"/>
      <w:sz w:val="24"/>
      <w:szCs w:val="24"/>
    </w:rPr>
  </w:style>
  <w:style w:type="paragraph" w:styleId="ae">
    <w:name w:val="TOC Heading"/>
    <w:basedOn w:val="1"/>
    <w:next w:val="a"/>
    <w:uiPriority w:val="39"/>
    <w:unhideWhenUsed/>
    <w:qFormat/>
    <w:rsid w:val="00331AC1"/>
    <w:pPr>
      <w:widowControl/>
      <w:spacing w:before="120" w:after="120"/>
      <w:outlineLvl w:val="9"/>
    </w:pPr>
    <w:rPr>
      <w:rtl/>
      <w:cs/>
    </w:rPr>
  </w:style>
  <w:style w:type="paragraph" w:styleId="TOC1">
    <w:name w:val="toc 1"/>
    <w:basedOn w:val="a"/>
    <w:next w:val="a"/>
    <w:autoRedefine/>
    <w:uiPriority w:val="39"/>
    <w:unhideWhenUsed/>
    <w:rsid w:val="00331AC1"/>
    <w:pPr>
      <w:tabs>
        <w:tab w:val="right" w:leader="dot" w:pos="9629"/>
      </w:tabs>
      <w:spacing w:after="100"/>
    </w:pPr>
    <w:rPr>
      <w:bCs/>
      <w:szCs w:val="22"/>
    </w:rPr>
  </w:style>
  <w:style w:type="paragraph" w:styleId="TOC2">
    <w:name w:val="toc 2"/>
    <w:basedOn w:val="a"/>
    <w:next w:val="a"/>
    <w:uiPriority w:val="39"/>
    <w:unhideWhenUsed/>
    <w:rsid w:val="00331AC1"/>
    <w:pPr>
      <w:tabs>
        <w:tab w:val="right" w:leader="dot" w:pos="9628"/>
      </w:tabs>
      <w:spacing w:after="100"/>
    </w:pPr>
    <w:rPr>
      <w:szCs w:val="22"/>
    </w:rPr>
  </w:style>
  <w:style w:type="character" w:styleId="Hyperlink">
    <w:name w:val="Hyperlink"/>
    <w:basedOn w:val="a0"/>
    <w:uiPriority w:val="99"/>
    <w:unhideWhenUsed/>
    <w:rsid w:val="00331AC1"/>
    <w:rPr>
      <w:color w:val="0000FF" w:themeColor="hyperlink"/>
      <w:u w:val="single"/>
    </w:rPr>
  </w:style>
  <w:style w:type="paragraph" w:styleId="TOC3">
    <w:name w:val="toc 3"/>
    <w:basedOn w:val="a"/>
    <w:next w:val="a"/>
    <w:uiPriority w:val="39"/>
    <w:unhideWhenUsed/>
    <w:rsid w:val="00331AC1"/>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331AC1"/>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331AC1"/>
    <w:pPr>
      <w:tabs>
        <w:tab w:val="right" w:leader="dot" w:pos="9628"/>
      </w:tabs>
      <w:spacing w:after="100"/>
      <w:ind w:left="567"/>
    </w:pPr>
    <w:rPr>
      <w:szCs w:val="22"/>
    </w:rPr>
  </w:style>
  <w:style w:type="paragraph" w:styleId="TOC6">
    <w:name w:val="toc 6"/>
    <w:basedOn w:val="a"/>
    <w:next w:val="a"/>
    <w:autoRedefine/>
    <w:semiHidden/>
    <w:unhideWhenUsed/>
    <w:rsid w:val="00331AC1"/>
    <w:pPr>
      <w:spacing w:after="100"/>
      <w:ind w:left="850"/>
    </w:pPr>
  </w:style>
  <w:style w:type="paragraph" w:styleId="TOC7">
    <w:name w:val="toc 7"/>
    <w:basedOn w:val="a"/>
    <w:next w:val="a"/>
    <w:autoRedefine/>
    <w:semiHidden/>
    <w:unhideWhenUsed/>
    <w:rsid w:val="00331AC1"/>
    <w:pPr>
      <w:spacing w:after="100"/>
      <w:ind w:left="1020"/>
    </w:pPr>
  </w:style>
  <w:style w:type="paragraph" w:styleId="TOC8">
    <w:name w:val="toc 8"/>
    <w:basedOn w:val="a"/>
    <w:next w:val="a"/>
    <w:autoRedefine/>
    <w:semiHidden/>
    <w:unhideWhenUsed/>
    <w:rsid w:val="00331AC1"/>
    <w:pPr>
      <w:spacing w:after="100"/>
      <w:ind w:left="1190"/>
    </w:pPr>
  </w:style>
  <w:style w:type="paragraph" w:styleId="TOC9">
    <w:name w:val="toc 9"/>
    <w:basedOn w:val="a"/>
    <w:next w:val="a"/>
    <w:autoRedefine/>
    <w:semiHidden/>
    <w:unhideWhenUsed/>
    <w:rsid w:val="00331AC1"/>
    <w:pPr>
      <w:spacing w:after="100"/>
      <w:ind w:left="1360"/>
    </w:pPr>
  </w:style>
  <w:style w:type="paragraph" w:customStyle="1" w:styleId="TableHead2">
    <w:name w:val="Table Head2"/>
    <w:basedOn w:val="TableHead"/>
    <w:qFormat/>
    <w:rsid w:val="00331AC1"/>
    <w:pPr>
      <w:outlineLvl w:val="9"/>
    </w:pPr>
  </w:style>
  <w:style w:type="paragraph" w:customStyle="1" w:styleId="TableSideHeading2">
    <w:name w:val="Table SideHeading2"/>
    <w:basedOn w:val="TableSideHeading"/>
    <w:autoRedefine/>
    <w:qFormat/>
    <w:rsid w:val="00331AC1"/>
    <w:pPr>
      <w:keepLines w:val="0"/>
      <w:outlineLvl w:val="9"/>
    </w:pPr>
  </w:style>
  <w:style w:type="paragraph" w:customStyle="1" w:styleId="0">
    <w:name w:val="סגנון שורה ראשונה:  0  ס''מ"/>
    <w:basedOn w:val="2"/>
    <w:rsid w:val="00331AC1"/>
    <w:rPr>
      <w:rFonts w:eastAsia="Times New Roman"/>
    </w:rPr>
  </w:style>
  <w:style w:type="paragraph" w:styleId="af">
    <w:name w:val="List Paragraph"/>
    <w:basedOn w:val="a"/>
    <w:uiPriority w:val="34"/>
    <w:qFormat/>
    <w:rsid w:val="00331AC1"/>
    <w:pPr>
      <w:widowControl/>
      <w:spacing w:line="259" w:lineRule="auto"/>
    </w:pPr>
    <w:rPr>
      <w:rFonts w:asciiTheme="minorHAnsi" w:hAnsiTheme="minorHAnsi"/>
      <w:sz w:val="22"/>
    </w:rPr>
  </w:style>
  <w:style w:type="table" w:styleId="af0">
    <w:name w:val="Table Grid"/>
    <w:basedOn w:val="a1"/>
    <w:rsid w:val="00331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331AC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331AC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331AC1"/>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331AC1"/>
    <w:tblPr/>
    <w:tblStylePr w:type="firstCol">
      <w:pPr>
        <w:keepNext w:val="0"/>
        <w:keepLines/>
        <w:pageBreakBefore w:val="0"/>
        <w:widowControl w:val="0"/>
        <w:suppressLineNumbers w:val="0"/>
        <w:suppressAutoHyphens w:val="0"/>
        <w:wordWrap/>
      </w:pPr>
    </w:tblStylePr>
  </w:style>
  <w:style w:type="paragraph" w:styleId="af2">
    <w:name w:val="Revision"/>
    <w:hidden/>
    <w:uiPriority w:val="99"/>
    <w:semiHidden/>
    <w:rsid w:val="0083619A"/>
    <w:rPr>
      <w:rFonts w:ascii="David" w:eastAsiaTheme="minorHAnsi" w:hAnsi="David"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3D6E9C754E1F7C4C891E9EE2E0AF8150" ma:contentTypeVersion="" ma:contentTypeDescription="צור מסמך חדש." ma:contentTypeScope="" ma:versionID="9191f7e1bb085ece6465964dba42d442">
  <xsd:schema xmlns:xsd="http://www.w3.org/2001/XMLSchema" xmlns:xs="http://www.w3.org/2001/XMLSchema" xmlns:p="http://schemas.microsoft.com/office/2006/metadata/properties" xmlns:ns2="290d5b49-c690-4c6f-bbb9-1e50dab33eee" targetNamespace="http://schemas.microsoft.com/office/2006/metadata/properties" ma:root="true" ma:fieldsID="fb4ed97e084053ed652bcef757b4ab45"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1479E-C4F7-4747-A89E-4F0DCB919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88F4AFE3-9455-419C-8851-785A55F44517}">
  <ds:schemaRefs>
    <ds:schemaRef ds:uri="http://schemas.microsoft.com/office/2006/documentManagement/types"/>
    <ds:schemaRef ds:uri="http://schemas.microsoft.com/office/infopath/2007/PartnerControls"/>
    <ds:schemaRef ds:uri="290d5b49-c690-4c6f-bbb9-1e50dab33eee"/>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67C321A6-2DA2-4947-BBF4-BA54BF2E3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414</Words>
  <Characters>2366</Characters>
  <Application>Microsoft Office Word</Application>
  <DocSecurity>0</DocSecurity>
  <Lines>19</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טליה דניאלה ווייס עמר</cp:lastModifiedBy>
  <cp:revision>8</cp:revision>
  <cp:lastPrinted>2020-12-14T16:31:00Z</cp:lastPrinted>
  <dcterms:created xsi:type="dcterms:W3CDTF">2015-04-20T09:58:00Z</dcterms:created>
  <dcterms:modified xsi:type="dcterms:W3CDTF">2020-12-20T07:18:00Z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0x0101003D6E9C754E1F7C4C891E9EE2E0AF8150</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2149358</vt:r8>
  </property>
</Properties>
</file>