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2149107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יעקב מרגי</w:t>
      </w:r>
      <w:bookmarkEnd w:id="3"/>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4" w:name="Private_Number"/>
      <w:r>
        <w:rPr>
          <w:rFonts w:hint="cs"/>
          <w:rtl/>
        </w:rPr>
        <w:t>פ/2586/23</w:t>
      </w:r>
      <w:bookmarkEnd w:id="4"/>
    </w:p>
    <w:p w14:paraId="7F6961AC" w14:textId="77777777" w:rsidR="00E13C27" w:rsidRDefault="00E13C27" w:rsidP="00E13C27">
      <w:pPr>
        <w:spacing w:before="0" w:line="360" w:lineRule="auto"/>
        <w:ind w:left="2880" w:firstLine="720"/>
        <w:rPr>
          <w:rFonts w:cs="David"/>
          <w:sz w:val="26"/>
          <w:szCs w:val="26"/>
          <w:rtl/>
        </w:rPr>
      </w:pPr>
    </w:p>
    <w:p w14:paraId="7F6961AD" w14:textId="5633951A" w:rsidR="00E13C27" w:rsidRPr="00F67051" w:rsidRDefault="00A443CF" w:rsidP="000D3FD1">
      <w:pPr>
        <w:pStyle w:val="HeadHatzaotHok"/>
        <w:rPr>
          <w:rtl/>
        </w:rPr>
      </w:pPr>
      <w:bookmarkStart w:id="5" w:name="LGS_Subject"/>
      <w:r>
        <w:rPr>
          <w:rFonts w:hint="cs"/>
          <w:rtl/>
        </w:rPr>
        <w:t>הצעת חוק להסדרת הטיפול באריזות (תיקון – יעדי איסוף על מכלי משקה גדולים), התשפ"א–2020</w:t>
      </w:r>
      <w:bookmarkEnd w:id="5"/>
    </w:p>
    <w:p w14:paraId="7F6961AE" w14:textId="77777777" w:rsidR="00E13C27" w:rsidRDefault="00E13C27" w:rsidP="0021633A">
      <w:pPr>
        <w:pStyle w:val="HeadDivreiHesber"/>
        <w:spacing w:before="0" w:after="0"/>
        <w:rPr>
          <w:rtl/>
        </w:rPr>
      </w:pPr>
    </w:p>
    <w:tbl>
      <w:tblPr>
        <w:bidiVisual/>
        <w:tblW w:w="9645"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54"/>
      </w:tblGrid>
      <w:tr w:rsidR="00854F19" w:rsidRPr="00EE4290" w14:paraId="5A5AA8D8" w14:textId="77777777" w:rsidTr="00854F19">
        <w:trPr>
          <w:cantSplit/>
        </w:trPr>
        <w:tc>
          <w:tcPr>
            <w:tcW w:w="1871" w:type="dxa"/>
            <w:hideMark/>
          </w:tcPr>
          <w:p w14:paraId="59B02840" w14:textId="30105FDB" w:rsidR="00854F19" w:rsidRPr="00EE4290" w:rsidRDefault="00854F19" w:rsidP="009208C9">
            <w:pPr>
              <w:tabs>
                <w:tab w:val="left" w:pos="624"/>
                <w:tab w:val="left" w:pos="1247"/>
              </w:tabs>
              <w:snapToGrid w:val="0"/>
              <w:spacing w:before="0" w:line="360" w:lineRule="auto"/>
              <w:ind w:firstLine="0"/>
              <w:jc w:val="left"/>
              <w:textAlignment w:val="auto"/>
              <w:rPr>
                <w:rFonts w:ascii="Arial" w:eastAsia="Arial Unicode MS" w:hAnsi="Arial" w:cs="David"/>
                <w:spacing w:val="0"/>
                <w:sz w:val="26"/>
                <w:szCs w:val="26"/>
              </w:rPr>
            </w:pPr>
            <w:r w:rsidRPr="00EE4290">
              <w:rPr>
                <w:rFonts w:ascii="Arial" w:eastAsia="Arial Unicode MS" w:hAnsi="Arial" w:cs="David" w:hint="cs"/>
                <w:spacing w:val="0"/>
                <w:sz w:val="26"/>
                <w:szCs w:val="26"/>
                <w:rtl/>
              </w:rPr>
              <w:t xml:space="preserve">תיקון </w:t>
            </w:r>
            <w:r w:rsidR="009208C9">
              <w:rPr>
                <w:rFonts w:ascii="Arial" w:eastAsia="Arial Unicode MS" w:hAnsi="Arial" w:cs="David" w:hint="cs"/>
                <w:spacing w:val="0"/>
                <w:sz w:val="26"/>
                <w:szCs w:val="26"/>
                <w:rtl/>
              </w:rPr>
              <w:t>סעיף 2</w:t>
            </w:r>
          </w:p>
        </w:tc>
        <w:tc>
          <w:tcPr>
            <w:tcW w:w="624" w:type="dxa"/>
            <w:hideMark/>
          </w:tcPr>
          <w:p w14:paraId="56050839" w14:textId="77777777" w:rsidR="00854F19" w:rsidRPr="00EE4290" w:rsidRDefault="00854F19"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tl/>
              </w:rPr>
            </w:pPr>
            <w:r w:rsidRPr="00EE4290">
              <w:rPr>
                <w:rFonts w:ascii="Arial" w:eastAsia="Arial Unicode MS" w:hAnsi="Arial" w:cs="David" w:hint="cs"/>
                <w:spacing w:val="0"/>
                <w:sz w:val="26"/>
                <w:szCs w:val="26"/>
                <w:rtl/>
              </w:rPr>
              <w:t>1.</w:t>
            </w:r>
          </w:p>
        </w:tc>
        <w:tc>
          <w:tcPr>
            <w:tcW w:w="7150" w:type="dxa"/>
            <w:gridSpan w:val="5"/>
            <w:hideMark/>
          </w:tcPr>
          <w:p w14:paraId="1A195EE8" w14:textId="7F3A0EA0" w:rsidR="00854F19" w:rsidRPr="00EE4290" w:rsidRDefault="00854F19" w:rsidP="0006297A">
            <w:pPr>
              <w:keepLines/>
              <w:tabs>
                <w:tab w:val="left" w:pos="624"/>
                <w:tab w:val="left" w:pos="1247"/>
              </w:tabs>
              <w:snapToGrid w:val="0"/>
              <w:spacing w:before="0" w:line="360" w:lineRule="auto"/>
              <w:ind w:firstLine="0"/>
              <w:textAlignment w:val="auto"/>
              <w:rPr>
                <w:rFonts w:ascii="Arial" w:eastAsia="Arial Unicode MS" w:hAnsi="Arial" w:cs="David"/>
                <w:spacing w:val="0"/>
                <w:sz w:val="26"/>
                <w:szCs w:val="26"/>
              </w:rPr>
            </w:pPr>
            <w:r w:rsidRPr="00EE4290">
              <w:rPr>
                <w:rFonts w:ascii="Arial" w:eastAsia="Arial Unicode MS" w:hAnsi="Arial" w:cs="David" w:hint="cs"/>
                <w:spacing w:val="0"/>
                <w:sz w:val="26"/>
                <w:szCs w:val="26"/>
                <w:rtl/>
              </w:rPr>
              <w:t xml:space="preserve">בחוק להסדרת הטיפול באריזות, </w:t>
            </w:r>
            <w:r w:rsidR="0006297A">
              <w:rPr>
                <w:rFonts w:ascii="Arial" w:eastAsia="Arial Unicode MS" w:hAnsi="Arial" w:cs="David" w:hint="cs"/>
                <w:spacing w:val="0"/>
                <w:sz w:val="26"/>
                <w:szCs w:val="26"/>
                <w:rtl/>
              </w:rPr>
              <w:t>ה</w:t>
            </w:r>
            <w:r w:rsidRPr="00EE4290">
              <w:rPr>
                <w:rFonts w:ascii="Arial" w:eastAsia="Arial Unicode MS" w:hAnsi="Arial" w:cs="David" w:hint="cs"/>
                <w:spacing w:val="0"/>
                <w:sz w:val="26"/>
                <w:szCs w:val="26"/>
                <w:rtl/>
              </w:rPr>
              <w:t>תשע"א</w:t>
            </w:r>
            <w:r w:rsidR="0006297A">
              <w:rPr>
                <w:rFonts w:ascii="Arial" w:eastAsia="Arial Unicode MS" w:hAnsi="Arial" w:cs="David" w:hint="eastAsia"/>
                <w:spacing w:val="0"/>
                <w:sz w:val="26"/>
                <w:szCs w:val="26"/>
                <w:rtl/>
              </w:rPr>
              <w:t>–</w:t>
            </w:r>
            <w:r w:rsidRPr="00EE4290">
              <w:rPr>
                <w:rFonts w:ascii="Arial" w:eastAsia="Arial Unicode MS" w:hAnsi="Arial" w:cs="David" w:hint="cs"/>
                <w:spacing w:val="0"/>
                <w:sz w:val="26"/>
                <w:szCs w:val="26"/>
                <w:rtl/>
              </w:rPr>
              <w:t>2011</w:t>
            </w:r>
            <w:r w:rsidRPr="00EE4290">
              <w:rPr>
                <w:rFonts w:ascii="Arial" w:eastAsia="Arial Unicode MS" w:hAnsi="Arial" w:cs="David"/>
                <w:spacing w:val="0"/>
                <w:sz w:val="26"/>
                <w:szCs w:val="26"/>
                <w:vertAlign w:val="superscript"/>
                <w:rtl/>
              </w:rPr>
              <w:footnoteReference w:id="2"/>
            </w:r>
            <w:r w:rsidRPr="00EE4290">
              <w:rPr>
                <w:rFonts w:ascii="Arial" w:eastAsia="Arial Unicode MS" w:hAnsi="Arial" w:cs="David" w:hint="cs"/>
                <w:spacing w:val="0"/>
                <w:sz w:val="26"/>
                <w:szCs w:val="26"/>
                <w:rtl/>
              </w:rPr>
              <w:t xml:space="preserve"> (להלן – החוק</w:t>
            </w:r>
            <w:r w:rsidR="009208C9">
              <w:rPr>
                <w:rFonts w:ascii="Arial" w:eastAsia="Arial Unicode MS" w:hAnsi="Arial" w:cs="David" w:hint="cs"/>
                <w:spacing w:val="0"/>
                <w:sz w:val="26"/>
                <w:szCs w:val="26"/>
                <w:rtl/>
              </w:rPr>
              <w:t xml:space="preserve"> העיקרי</w:t>
            </w:r>
            <w:r w:rsidRPr="00EE4290">
              <w:rPr>
                <w:rFonts w:ascii="Arial" w:eastAsia="Arial Unicode MS" w:hAnsi="Arial" w:cs="David" w:hint="cs"/>
                <w:spacing w:val="0"/>
                <w:sz w:val="26"/>
                <w:szCs w:val="26"/>
                <w:rtl/>
              </w:rPr>
              <w:t>)</w:t>
            </w:r>
            <w:r w:rsidR="0006297A">
              <w:rPr>
                <w:rFonts w:ascii="Arial" w:eastAsia="Arial Unicode MS" w:hAnsi="Arial" w:cs="David" w:hint="cs"/>
                <w:spacing w:val="0"/>
                <w:sz w:val="26"/>
                <w:szCs w:val="26"/>
                <w:rtl/>
              </w:rPr>
              <w:t>, בסעיף 2,</w:t>
            </w:r>
            <w:r w:rsidRPr="00EE4290">
              <w:rPr>
                <w:rFonts w:ascii="Arial" w:eastAsia="Arial Unicode MS" w:hAnsi="Arial" w:cs="David" w:hint="cs"/>
                <w:spacing w:val="0"/>
                <w:sz w:val="26"/>
                <w:szCs w:val="26"/>
                <w:rtl/>
              </w:rPr>
              <w:t xml:space="preserve"> לאחר ההגדרה "מכירה" יבוא: </w:t>
            </w:r>
          </w:p>
        </w:tc>
      </w:tr>
      <w:tr w:rsidR="00854F19" w:rsidRPr="00EE4290" w14:paraId="7804AAB0" w14:textId="77777777" w:rsidTr="00854F19">
        <w:trPr>
          <w:cantSplit/>
        </w:trPr>
        <w:tc>
          <w:tcPr>
            <w:tcW w:w="1871" w:type="dxa"/>
          </w:tcPr>
          <w:p w14:paraId="630C5A02" w14:textId="77777777" w:rsidR="00854F19" w:rsidRPr="00EE4290" w:rsidRDefault="00854F19"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Pr>
            </w:pPr>
          </w:p>
        </w:tc>
        <w:tc>
          <w:tcPr>
            <w:tcW w:w="624" w:type="dxa"/>
          </w:tcPr>
          <w:p w14:paraId="6BE5DC03" w14:textId="77777777" w:rsidR="00854F19" w:rsidRPr="00EE4290" w:rsidRDefault="00854F19"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tl/>
              </w:rPr>
            </w:pPr>
          </w:p>
        </w:tc>
        <w:tc>
          <w:tcPr>
            <w:tcW w:w="7150" w:type="dxa"/>
            <w:gridSpan w:val="5"/>
            <w:hideMark/>
          </w:tcPr>
          <w:p w14:paraId="6C363E65" w14:textId="263EE778" w:rsidR="00854F19" w:rsidRPr="00EE4290" w:rsidRDefault="0006297A" w:rsidP="009208C9">
            <w:pPr>
              <w:keepLines/>
              <w:tabs>
                <w:tab w:val="left" w:pos="624"/>
                <w:tab w:val="left" w:pos="1247"/>
              </w:tabs>
              <w:snapToGrid w:val="0"/>
              <w:spacing w:before="0" w:line="360" w:lineRule="auto"/>
              <w:ind w:firstLine="0"/>
              <w:textAlignment w:val="auto"/>
              <w:rPr>
                <w:rFonts w:ascii="Arial" w:eastAsia="Arial Unicode MS" w:hAnsi="Arial" w:cs="David"/>
                <w:spacing w:val="0"/>
                <w:sz w:val="26"/>
                <w:szCs w:val="26"/>
              </w:rPr>
            </w:pPr>
            <w:r>
              <w:rPr>
                <w:rFonts w:ascii="Arial" w:eastAsia="Arial Unicode MS" w:hAnsi="Arial" w:cs="David" w:hint="cs"/>
                <w:spacing w:val="0"/>
                <w:sz w:val="26"/>
                <w:szCs w:val="26"/>
                <w:rtl/>
              </w:rPr>
              <w:t>"</w:t>
            </w:r>
            <w:r w:rsidR="00854F19" w:rsidRPr="00EE4290">
              <w:rPr>
                <w:rFonts w:ascii="Arial" w:eastAsia="Arial Unicode MS" w:hAnsi="Arial" w:cs="David" w:hint="cs"/>
                <w:spacing w:val="0"/>
                <w:sz w:val="26"/>
                <w:szCs w:val="26"/>
                <w:rtl/>
              </w:rPr>
              <w:t xml:space="preserve">"מכל משקה גדול" – </w:t>
            </w:r>
            <w:r>
              <w:rPr>
                <w:rFonts w:ascii="Arial" w:eastAsia="Arial Unicode MS" w:hAnsi="Arial" w:cs="David" w:hint="cs"/>
                <w:spacing w:val="0"/>
                <w:sz w:val="26"/>
                <w:szCs w:val="26"/>
                <w:rtl/>
              </w:rPr>
              <w:t>כהגדרתו בחוק הפיקדון על מכלי משקה, התשנ"ט-1999</w:t>
            </w:r>
            <w:r>
              <w:rPr>
                <w:rStyle w:val="a6"/>
                <w:rFonts w:ascii="Arial" w:eastAsia="Arial Unicode MS" w:hAnsi="Arial" w:cs="David"/>
                <w:spacing w:val="0"/>
                <w:sz w:val="26"/>
                <w:szCs w:val="26"/>
                <w:rtl/>
              </w:rPr>
              <w:footnoteReference w:id="3"/>
            </w:r>
            <w:r>
              <w:rPr>
                <w:rFonts w:ascii="Arial" w:eastAsia="Arial Unicode MS" w:hAnsi="Arial" w:cs="David" w:hint="cs"/>
                <w:spacing w:val="0"/>
                <w:sz w:val="26"/>
                <w:szCs w:val="26"/>
                <w:rtl/>
              </w:rPr>
              <w:t>;"</w:t>
            </w:r>
          </w:p>
        </w:tc>
      </w:tr>
      <w:tr w:rsidR="00854F19" w:rsidRPr="00EE4290" w14:paraId="6088DF44" w14:textId="77777777" w:rsidTr="00854F19">
        <w:trPr>
          <w:cantSplit/>
        </w:trPr>
        <w:tc>
          <w:tcPr>
            <w:tcW w:w="1871" w:type="dxa"/>
            <w:hideMark/>
          </w:tcPr>
          <w:p w14:paraId="4F746391" w14:textId="77777777" w:rsidR="00854F19" w:rsidRPr="00EE4290" w:rsidRDefault="00854F19"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tl/>
              </w:rPr>
            </w:pPr>
            <w:r w:rsidRPr="00EE4290">
              <w:rPr>
                <w:rFonts w:ascii="Arial" w:eastAsia="Arial Unicode MS" w:hAnsi="Arial" w:cs="David" w:hint="cs"/>
                <w:spacing w:val="0"/>
                <w:sz w:val="26"/>
                <w:szCs w:val="26"/>
                <w:rtl/>
              </w:rPr>
              <w:t>תיקון סעיף 6</w:t>
            </w:r>
          </w:p>
        </w:tc>
        <w:tc>
          <w:tcPr>
            <w:tcW w:w="624" w:type="dxa"/>
            <w:hideMark/>
          </w:tcPr>
          <w:p w14:paraId="3F1C93E8" w14:textId="77777777" w:rsidR="00854F19" w:rsidRPr="00EE4290" w:rsidRDefault="00854F19"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Pr>
            </w:pPr>
            <w:r w:rsidRPr="00EE4290">
              <w:rPr>
                <w:rFonts w:ascii="Arial" w:eastAsia="Arial Unicode MS" w:hAnsi="Arial" w:cs="David" w:hint="cs"/>
                <w:spacing w:val="0"/>
                <w:sz w:val="26"/>
                <w:szCs w:val="26"/>
                <w:rtl/>
              </w:rPr>
              <w:t>2.</w:t>
            </w:r>
          </w:p>
        </w:tc>
        <w:tc>
          <w:tcPr>
            <w:tcW w:w="7150" w:type="dxa"/>
            <w:gridSpan w:val="5"/>
            <w:hideMark/>
          </w:tcPr>
          <w:p w14:paraId="46630A24" w14:textId="50B3C5E0" w:rsidR="00854F19" w:rsidRPr="00EE4290" w:rsidRDefault="00854F19" w:rsidP="000F0C45">
            <w:pPr>
              <w:keepLines/>
              <w:tabs>
                <w:tab w:val="left" w:pos="624"/>
                <w:tab w:val="left" w:pos="1247"/>
              </w:tabs>
              <w:snapToGrid w:val="0"/>
              <w:spacing w:before="0" w:line="360" w:lineRule="auto"/>
              <w:ind w:firstLine="0"/>
              <w:textAlignment w:val="auto"/>
              <w:rPr>
                <w:rFonts w:ascii="Arial" w:eastAsia="Arial Unicode MS" w:hAnsi="Arial" w:cs="David"/>
                <w:spacing w:val="0"/>
                <w:sz w:val="26"/>
                <w:szCs w:val="26"/>
                <w:rtl/>
              </w:rPr>
            </w:pPr>
            <w:r w:rsidRPr="00EE4290">
              <w:rPr>
                <w:rFonts w:ascii="Arial" w:eastAsia="Arial Unicode MS" w:hAnsi="Arial" w:cs="David" w:hint="cs"/>
                <w:spacing w:val="0"/>
                <w:sz w:val="26"/>
                <w:szCs w:val="26"/>
                <w:rtl/>
              </w:rPr>
              <w:t>בסעיף 6 לחוק</w:t>
            </w:r>
            <w:r w:rsidR="009208C9">
              <w:rPr>
                <w:rFonts w:ascii="Arial" w:eastAsia="Arial Unicode MS" w:hAnsi="Arial" w:cs="David" w:hint="cs"/>
                <w:spacing w:val="0"/>
                <w:sz w:val="26"/>
                <w:szCs w:val="26"/>
                <w:rtl/>
              </w:rPr>
              <w:t xml:space="preserve"> העיקרי </w:t>
            </w:r>
            <w:r w:rsidR="009208C9">
              <w:rPr>
                <w:rFonts w:ascii="Arial" w:eastAsia="Arial Unicode MS" w:hAnsi="Arial" w:cs="David"/>
                <w:spacing w:val="0"/>
                <w:sz w:val="26"/>
                <w:szCs w:val="26"/>
                <w:rtl/>
              </w:rPr>
              <w:t>–</w:t>
            </w:r>
            <w:r w:rsidR="009208C9">
              <w:rPr>
                <w:rFonts w:ascii="Arial" w:eastAsia="Arial Unicode MS" w:hAnsi="Arial" w:cs="David" w:hint="cs"/>
                <w:spacing w:val="0"/>
                <w:sz w:val="26"/>
                <w:szCs w:val="26"/>
                <w:rtl/>
              </w:rPr>
              <w:t xml:space="preserve"> </w:t>
            </w:r>
          </w:p>
        </w:tc>
      </w:tr>
      <w:tr w:rsidR="009208C9" w:rsidRPr="00EE4290" w14:paraId="21708F00" w14:textId="77777777" w:rsidTr="00854F19">
        <w:trPr>
          <w:cantSplit/>
        </w:trPr>
        <w:tc>
          <w:tcPr>
            <w:tcW w:w="1871" w:type="dxa"/>
          </w:tcPr>
          <w:p w14:paraId="368CE2C6" w14:textId="77777777" w:rsidR="009208C9" w:rsidRPr="00EE4290" w:rsidRDefault="009208C9"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tl/>
              </w:rPr>
            </w:pPr>
          </w:p>
        </w:tc>
        <w:tc>
          <w:tcPr>
            <w:tcW w:w="624" w:type="dxa"/>
          </w:tcPr>
          <w:p w14:paraId="55E4968D" w14:textId="77777777" w:rsidR="009208C9" w:rsidRPr="00EE4290" w:rsidRDefault="009208C9" w:rsidP="00996595">
            <w:pPr>
              <w:pStyle w:val="TableText"/>
              <w:rPr>
                <w:rtl/>
              </w:rPr>
            </w:pPr>
          </w:p>
        </w:tc>
        <w:tc>
          <w:tcPr>
            <w:tcW w:w="7150" w:type="dxa"/>
            <w:gridSpan w:val="5"/>
          </w:tcPr>
          <w:p w14:paraId="3D708A25" w14:textId="6D6DBFE8" w:rsidR="009208C9" w:rsidRPr="00EE4290" w:rsidRDefault="009208C9" w:rsidP="009208C9">
            <w:pPr>
              <w:keepLines/>
              <w:tabs>
                <w:tab w:val="left" w:pos="624"/>
                <w:tab w:val="left" w:pos="1247"/>
              </w:tabs>
              <w:snapToGrid w:val="0"/>
              <w:spacing w:before="0" w:line="360" w:lineRule="auto"/>
              <w:ind w:firstLine="0"/>
              <w:textAlignment w:val="auto"/>
              <w:rPr>
                <w:rFonts w:ascii="Arial" w:eastAsia="Arial Unicode MS" w:hAnsi="Arial" w:cs="David"/>
                <w:spacing w:val="0"/>
                <w:sz w:val="26"/>
                <w:szCs w:val="26"/>
                <w:rtl/>
              </w:rPr>
            </w:pPr>
            <w:r>
              <w:rPr>
                <w:rFonts w:ascii="Arial" w:eastAsia="Arial Unicode MS" w:hAnsi="Arial" w:cs="David" w:hint="cs"/>
                <w:spacing w:val="0"/>
                <w:sz w:val="26"/>
                <w:szCs w:val="26"/>
                <w:rtl/>
              </w:rPr>
              <w:t>(1)</w:t>
            </w:r>
            <w:r>
              <w:rPr>
                <w:rFonts w:ascii="Arial" w:eastAsia="Arial Unicode MS" w:hAnsi="Arial" w:cs="David"/>
                <w:spacing w:val="0"/>
                <w:sz w:val="26"/>
                <w:szCs w:val="26"/>
                <w:rtl/>
              </w:rPr>
              <w:tab/>
            </w:r>
            <w:r>
              <w:rPr>
                <w:rFonts w:ascii="Arial" w:eastAsia="Arial Unicode MS" w:hAnsi="Arial" w:cs="David" w:hint="cs"/>
                <w:spacing w:val="0"/>
                <w:sz w:val="26"/>
                <w:szCs w:val="26"/>
                <w:rtl/>
              </w:rPr>
              <w:t>אחרי סעיף קטן (א) יבוא:</w:t>
            </w:r>
          </w:p>
        </w:tc>
      </w:tr>
      <w:tr w:rsidR="0006297A" w14:paraId="4CC3027C" w14:textId="77777777" w:rsidTr="00F90F29">
        <w:trPr>
          <w:cantSplit/>
          <w:trHeight w:val="60"/>
        </w:trPr>
        <w:tc>
          <w:tcPr>
            <w:tcW w:w="1871" w:type="dxa"/>
          </w:tcPr>
          <w:p w14:paraId="70C4B6D0" w14:textId="77777777" w:rsidR="0006297A" w:rsidRDefault="0006297A">
            <w:pPr>
              <w:pStyle w:val="TableSideHeading"/>
            </w:pPr>
          </w:p>
        </w:tc>
        <w:tc>
          <w:tcPr>
            <w:tcW w:w="624" w:type="dxa"/>
          </w:tcPr>
          <w:p w14:paraId="45A64E43" w14:textId="77777777" w:rsidR="0006297A" w:rsidRDefault="0006297A">
            <w:pPr>
              <w:pStyle w:val="TableText"/>
            </w:pPr>
          </w:p>
        </w:tc>
        <w:tc>
          <w:tcPr>
            <w:tcW w:w="624" w:type="dxa"/>
          </w:tcPr>
          <w:p w14:paraId="18152E31" w14:textId="77777777" w:rsidR="0006297A" w:rsidRDefault="0006297A">
            <w:pPr>
              <w:pStyle w:val="TableText"/>
            </w:pPr>
          </w:p>
        </w:tc>
        <w:tc>
          <w:tcPr>
            <w:tcW w:w="6526" w:type="dxa"/>
            <w:gridSpan w:val="4"/>
          </w:tcPr>
          <w:p w14:paraId="7F99DD12" w14:textId="7D8B7DD9" w:rsidR="0006297A" w:rsidRDefault="000D3FD1" w:rsidP="000D0EB0">
            <w:pPr>
              <w:pStyle w:val="TableBlock"/>
            </w:pPr>
            <w:r w:rsidRPr="001A4204">
              <w:rPr>
                <w:sz w:val="26"/>
                <w:rtl/>
              </w:rPr>
              <w:t>"(</w:t>
            </w:r>
            <w:r w:rsidRPr="001A4204">
              <w:rPr>
                <w:rFonts w:hint="eastAsia"/>
                <w:sz w:val="26"/>
                <w:rtl/>
              </w:rPr>
              <w:t>א</w:t>
            </w:r>
            <w:r w:rsidRPr="001A4204">
              <w:rPr>
                <w:sz w:val="26"/>
                <w:rtl/>
              </w:rPr>
              <w:t>1)</w:t>
            </w:r>
            <w:r>
              <w:rPr>
                <w:sz w:val="26"/>
                <w:rtl/>
              </w:rPr>
              <w:tab/>
            </w:r>
            <w:r w:rsidRPr="001A4204">
              <w:rPr>
                <w:rFonts w:hint="eastAsia"/>
                <w:sz w:val="26"/>
                <w:rtl/>
              </w:rPr>
              <w:t>על</w:t>
            </w:r>
            <w:r w:rsidRPr="001A4204">
              <w:rPr>
                <w:sz w:val="26"/>
                <w:rtl/>
              </w:rPr>
              <w:t xml:space="preserve"> אף האמור בסעיף קטן (א), יצרן ויבואן יבצעו </w:t>
            </w:r>
            <w:r w:rsidRPr="001A4204">
              <w:rPr>
                <w:rFonts w:hint="eastAsia"/>
                <w:sz w:val="26"/>
                <w:rtl/>
              </w:rPr>
              <w:t>מיחזור</w:t>
            </w:r>
            <w:r w:rsidRPr="001A4204">
              <w:rPr>
                <w:sz w:val="26"/>
                <w:rtl/>
              </w:rPr>
              <w:t xml:space="preserve"> מוכר של פסולת </w:t>
            </w:r>
            <w:r w:rsidRPr="001A4204">
              <w:rPr>
                <w:rFonts w:hint="eastAsia"/>
                <w:sz w:val="26"/>
                <w:rtl/>
              </w:rPr>
              <w:t>מכלי</w:t>
            </w:r>
            <w:r w:rsidRPr="001A4204">
              <w:rPr>
                <w:sz w:val="26"/>
                <w:rtl/>
              </w:rPr>
              <w:t xml:space="preserve"> </w:t>
            </w:r>
            <w:r w:rsidRPr="001A4204">
              <w:rPr>
                <w:rFonts w:hint="eastAsia"/>
                <w:sz w:val="26"/>
                <w:rtl/>
              </w:rPr>
              <w:t>משקה</w:t>
            </w:r>
            <w:r w:rsidRPr="001A4204">
              <w:rPr>
                <w:sz w:val="26"/>
                <w:rtl/>
              </w:rPr>
              <w:t xml:space="preserve"> </w:t>
            </w:r>
            <w:r w:rsidRPr="001A4204">
              <w:rPr>
                <w:rFonts w:hint="eastAsia"/>
                <w:sz w:val="26"/>
                <w:rtl/>
              </w:rPr>
              <w:t>גדולים</w:t>
            </w:r>
            <w:r>
              <w:rPr>
                <w:rFonts w:hint="cs"/>
                <w:sz w:val="26"/>
                <w:rtl/>
              </w:rPr>
              <w:t xml:space="preserve"> שייצרו או שייבאו כאמור; </w:t>
            </w:r>
            <w:r w:rsidRPr="00FE3A6C">
              <w:rPr>
                <w:rFonts w:hint="eastAsia"/>
                <w:rtl/>
              </w:rPr>
              <w:t>שיעור</w:t>
            </w:r>
            <w:r w:rsidRPr="00FE3A6C">
              <w:rPr>
                <w:rtl/>
              </w:rPr>
              <w:t xml:space="preserve"> מכלי המשקה הגדולים שיאספו </w:t>
            </w:r>
            <w:r>
              <w:rPr>
                <w:rFonts w:hint="cs"/>
                <w:rtl/>
              </w:rPr>
              <w:t xml:space="preserve">יצרן או יבואן לצורך ביצוע מיחזור מוכר </w:t>
            </w:r>
            <w:r w:rsidRPr="00FE3A6C">
              <w:rPr>
                <w:rFonts w:hint="eastAsia"/>
                <w:rtl/>
              </w:rPr>
              <w:t>מסך</w:t>
            </w:r>
            <w:r w:rsidRPr="00FE3A6C">
              <w:rPr>
                <w:rtl/>
              </w:rPr>
              <w:t xml:space="preserve"> </w:t>
            </w:r>
            <w:r w:rsidRPr="00FE3A6C">
              <w:rPr>
                <w:rFonts w:hint="eastAsia"/>
                <w:rtl/>
              </w:rPr>
              <w:t>מכלי</w:t>
            </w:r>
            <w:r w:rsidRPr="00FE3A6C">
              <w:rPr>
                <w:rtl/>
              </w:rPr>
              <w:t xml:space="preserve"> </w:t>
            </w:r>
            <w:r w:rsidRPr="00FE3A6C">
              <w:rPr>
                <w:rFonts w:hint="eastAsia"/>
                <w:rtl/>
              </w:rPr>
              <w:t>המשקה</w:t>
            </w:r>
            <w:r w:rsidRPr="00FE3A6C">
              <w:rPr>
                <w:rtl/>
              </w:rPr>
              <w:t xml:space="preserve"> </w:t>
            </w:r>
            <w:r w:rsidRPr="00FE3A6C">
              <w:rPr>
                <w:rFonts w:hint="eastAsia"/>
                <w:rtl/>
              </w:rPr>
              <w:t>המלאים</w:t>
            </w:r>
            <w:r w:rsidRPr="00FE3A6C">
              <w:rPr>
                <w:rtl/>
              </w:rPr>
              <w:t xml:space="preserve"> </w:t>
            </w:r>
            <w:r w:rsidRPr="00FE3A6C">
              <w:rPr>
                <w:rFonts w:hint="eastAsia"/>
                <w:rtl/>
              </w:rPr>
              <w:t>ששיווקו</w:t>
            </w:r>
            <w:r w:rsidRPr="00FE3A6C">
              <w:rPr>
                <w:rtl/>
              </w:rPr>
              <w:t xml:space="preserve"> </w:t>
            </w:r>
            <w:r w:rsidRPr="00FE3A6C">
              <w:rPr>
                <w:rFonts w:hint="eastAsia"/>
                <w:rtl/>
              </w:rPr>
              <w:t>בכל</w:t>
            </w:r>
            <w:r w:rsidRPr="00FE3A6C">
              <w:rPr>
                <w:rtl/>
              </w:rPr>
              <w:t xml:space="preserve"> </w:t>
            </w:r>
            <w:r w:rsidRPr="00FE3A6C">
              <w:rPr>
                <w:rFonts w:hint="eastAsia"/>
                <w:rtl/>
              </w:rPr>
              <w:t>שנה</w:t>
            </w:r>
            <w:r w:rsidRPr="00FE3A6C">
              <w:rPr>
                <w:rtl/>
              </w:rPr>
              <w:t xml:space="preserve"> </w:t>
            </w:r>
            <w:r w:rsidRPr="00FE3A6C">
              <w:rPr>
                <w:rFonts w:hint="eastAsia"/>
                <w:rtl/>
              </w:rPr>
              <w:t>לא</w:t>
            </w:r>
            <w:r w:rsidRPr="00FE3A6C">
              <w:rPr>
                <w:rtl/>
              </w:rPr>
              <w:t xml:space="preserve"> </w:t>
            </w:r>
            <w:r w:rsidRPr="00FE3A6C">
              <w:rPr>
                <w:rFonts w:hint="eastAsia"/>
                <w:rtl/>
              </w:rPr>
              <w:t>יפחת</w:t>
            </w:r>
            <w:r w:rsidRPr="00FE3A6C">
              <w:rPr>
                <w:rtl/>
              </w:rPr>
              <w:t xml:space="preserve"> </w:t>
            </w:r>
            <w:r w:rsidRPr="00FE3A6C">
              <w:rPr>
                <w:rFonts w:hint="eastAsia"/>
                <w:rtl/>
              </w:rPr>
              <w:t>מ</w:t>
            </w:r>
            <w:r>
              <w:rPr>
                <w:rFonts w:hint="cs"/>
                <w:rtl/>
              </w:rPr>
              <w:t xml:space="preserve"> </w:t>
            </w:r>
            <w:r>
              <w:rPr>
                <w:sz w:val="26"/>
                <w:rtl/>
              </w:rPr>
              <w:t>–</w:t>
            </w:r>
          </w:p>
        </w:tc>
      </w:tr>
      <w:tr w:rsidR="000D3FD1" w14:paraId="2F818841" w14:textId="77777777" w:rsidTr="00F90F29">
        <w:trPr>
          <w:cantSplit/>
          <w:trHeight w:val="60"/>
        </w:trPr>
        <w:tc>
          <w:tcPr>
            <w:tcW w:w="1871" w:type="dxa"/>
          </w:tcPr>
          <w:p w14:paraId="75F645F6" w14:textId="36127CD5" w:rsidR="000D3FD1" w:rsidRDefault="000D3FD1" w:rsidP="000D3FD1">
            <w:pPr>
              <w:pStyle w:val="TableSideHeading"/>
            </w:pPr>
          </w:p>
        </w:tc>
        <w:tc>
          <w:tcPr>
            <w:tcW w:w="624" w:type="dxa"/>
          </w:tcPr>
          <w:p w14:paraId="03E6F47E" w14:textId="77777777" w:rsidR="000D3FD1" w:rsidRDefault="000D3FD1" w:rsidP="000D0EB0">
            <w:pPr>
              <w:pStyle w:val="TableText"/>
            </w:pPr>
          </w:p>
        </w:tc>
        <w:tc>
          <w:tcPr>
            <w:tcW w:w="624" w:type="dxa"/>
          </w:tcPr>
          <w:p w14:paraId="4E3E3EA5" w14:textId="77777777" w:rsidR="000D3FD1" w:rsidRDefault="000D3FD1" w:rsidP="000D3FD1">
            <w:pPr>
              <w:pStyle w:val="TableText"/>
            </w:pPr>
          </w:p>
        </w:tc>
        <w:tc>
          <w:tcPr>
            <w:tcW w:w="6526" w:type="dxa"/>
            <w:gridSpan w:val="4"/>
          </w:tcPr>
          <w:p w14:paraId="44F6149C" w14:textId="06CB0885" w:rsidR="000D3FD1" w:rsidRDefault="000D3FD1" w:rsidP="000D3FD1">
            <w:pPr>
              <w:pStyle w:val="TableBlock"/>
              <w:rPr>
                <w:sz w:val="26"/>
                <w:rtl/>
              </w:rPr>
            </w:pPr>
            <w:r w:rsidRPr="00FE3A6C">
              <w:rPr>
                <w:sz w:val="26"/>
                <w:rtl/>
              </w:rPr>
              <w:t>(1)</w:t>
            </w:r>
            <w:r w:rsidRPr="00FE3A6C">
              <w:rPr>
                <w:sz w:val="26"/>
                <w:rtl/>
              </w:rPr>
              <w:tab/>
              <w:t xml:space="preserve">55 </w:t>
            </w:r>
            <w:r w:rsidRPr="00FE3A6C">
              <w:rPr>
                <w:rFonts w:hint="eastAsia"/>
                <w:sz w:val="26"/>
                <w:rtl/>
              </w:rPr>
              <w:t>אחוזים</w:t>
            </w:r>
            <w:r w:rsidRPr="00FE3A6C">
              <w:rPr>
                <w:sz w:val="26"/>
                <w:rtl/>
              </w:rPr>
              <w:t xml:space="preserve"> </w:t>
            </w:r>
            <w:r w:rsidRPr="00FE3A6C">
              <w:rPr>
                <w:rFonts w:hint="eastAsia"/>
                <w:sz w:val="26"/>
                <w:rtl/>
              </w:rPr>
              <w:t>בשנים</w:t>
            </w:r>
            <w:r w:rsidRPr="00FE3A6C">
              <w:rPr>
                <w:sz w:val="26"/>
                <w:rtl/>
              </w:rPr>
              <w:t xml:space="preserve"> 2022 </w:t>
            </w:r>
            <w:r w:rsidRPr="00FE3A6C">
              <w:rPr>
                <w:rFonts w:hint="eastAsia"/>
                <w:sz w:val="26"/>
                <w:rtl/>
              </w:rPr>
              <w:t>ו</w:t>
            </w:r>
            <w:r w:rsidRPr="00FE3A6C">
              <w:rPr>
                <w:sz w:val="26"/>
                <w:rtl/>
              </w:rPr>
              <w:t>-2023;</w:t>
            </w:r>
          </w:p>
        </w:tc>
      </w:tr>
      <w:tr w:rsidR="000D3FD1" w14:paraId="30E06BF1" w14:textId="77777777" w:rsidTr="00F90F29">
        <w:trPr>
          <w:cantSplit/>
          <w:trHeight w:val="60"/>
        </w:trPr>
        <w:tc>
          <w:tcPr>
            <w:tcW w:w="1871" w:type="dxa"/>
          </w:tcPr>
          <w:p w14:paraId="43DD4BA3" w14:textId="1DDEC8D3" w:rsidR="000D3FD1" w:rsidRDefault="000D3FD1" w:rsidP="000D3FD1">
            <w:pPr>
              <w:pStyle w:val="TableSideHeading"/>
              <w:rPr>
                <w:rtl/>
              </w:rPr>
            </w:pPr>
          </w:p>
        </w:tc>
        <w:tc>
          <w:tcPr>
            <w:tcW w:w="624" w:type="dxa"/>
          </w:tcPr>
          <w:p w14:paraId="1BAB92A5" w14:textId="77777777" w:rsidR="000D3FD1" w:rsidRDefault="000D3FD1" w:rsidP="000D0EB0">
            <w:pPr>
              <w:pStyle w:val="TableText"/>
            </w:pPr>
          </w:p>
        </w:tc>
        <w:tc>
          <w:tcPr>
            <w:tcW w:w="624" w:type="dxa"/>
          </w:tcPr>
          <w:p w14:paraId="20258309" w14:textId="77777777" w:rsidR="000D3FD1" w:rsidRDefault="000D3FD1" w:rsidP="000D3FD1">
            <w:pPr>
              <w:pStyle w:val="TableText"/>
            </w:pPr>
          </w:p>
        </w:tc>
        <w:tc>
          <w:tcPr>
            <w:tcW w:w="6526" w:type="dxa"/>
            <w:gridSpan w:val="4"/>
          </w:tcPr>
          <w:p w14:paraId="5A20A17F" w14:textId="6BCFCC55" w:rsidR="000D3FD1" w:rsidRDefault="000D3FD1" w:rsidP="000D3FD1">
            <w:pPr>
              <w:pStyle w:val="TableBlock"/>
              <w:rPr>
                <w:sz w:val="26"/>
                <w:rtl/>
              </w:rPr>
            </w:pPr>
            <w:r>
              <w:rPr>
                <w:rFonts w:hint="cs"/>
                <w:rtl/>
              </w:rPr>
              <w:t>(2)</w:t>
            </w:r>
            <w:r>
              <w:rPr>
                <w:rtl/>
              </w:rPr>
              <w:tab/>
            </w:r>
            <w:r>
              <w:rPr>
                <w:rFonts w:hint="cs"/>
                <w:rtl/>
              </w:rPr>
              <w:t>65 אחוזים בשנים 2024 ו-2025;</w:t>
            </w:r>
          </w:p>
        </w:tc>
      </w:tr>
      <w:tr w:rsidR="000D3FD1" w14:paraId="1BE0FFA7" w14:textId="77777777" w:rsidTr="00F90F29">
        <w:trPr>
          <w:cantSplit/>
          <w:trHeight w:val="60"/>
        </w:trPr>
        <w:tc>
          <w:tcPr>
            <w:tcW w:w="1871" w:type="dxa"/>
          </w:tcPr>
          <w:p w14:paraId="5A3EF99C" w14:textId="0ED711BA" w:rsidR="000D3FD1" w:rsidRDefault="000D3FD1" w:rsidP="000D3FD1">
            <w:pPr>
              <w:pStyle w:val="TableSideHeading"/>
              <w:rPr>
                <w:rtl/>
              </w:rPr>
            </w:pPr>
          </w:p>
        </w:tc>
        <w:tc>
          <w:tcPr>
            <w:tcW w:w="624" w:type="dxa"/>
          </w:tcPr>
          <w:p w14:paraId="3CFABAC0" w14:textId="77777777" w:rsidR="000D3FD1" w:rsidRDefault="000D3FD1" w:rsidP="000D0EB0">
            <w:pPr>
              <w:pStyle w:val="TableText"/>
            </w:pPr>
          </w:p>
        </w:tc>
        <w:tc>
          <w:tcPr>
            <w:tcW w:w="624" w:type="dxa"/>
          </w:tcPr>
          <w:p w14:paraId="79DB32DC" w14:textId="77777777" w:rsidR="000D3FD1" w:rsidRDefault="000D3FD1" w:rsidP="000D3FD1">
            <w:pPr>
              <w:pStyle w:val="TableText"/>
            </w:pPr>
          </w:p>
        </w:tc>
        <w:tc>
          <w:tcPr>
            <w:tcW w:w="6526" w:type="dxa"/>
            <w:gridSpan w:val="4"/>
          </w:tcPr>
          <w:p w14:paraId="693B1D54" w14:textId="30E3445D" w:rsidR="000D3FD1" w:rsidRDefault="000D3FD1" w:rsidP="000D3FD1">
            <w:pPr>
              <w:pStyle w:val="TableBlock"/>
              <w:rPr>
                <w:sz w:val="26"/>
                <w:rtl/>
              </w:rPr>
            </w:pPr>
            <w:r>
              <w:rPr>
                <w:rFonts w:hint="cs"/>
                <w:rtl/>
              </w:rPr>
              <w:t>(3)</w:t>
            </w:r>
            <w:r>
              <w:rPr>
                <w:rtl/>
              </w:rPr>
              <w:tab/>
            </w:r>
            <w:r>
              <w:rPr>
                <w:rFonts w:hint="cs"/>
                <w:rtl/>
              </w:rPr>
              <w:t>73 אחוזים משנת 2026 ואילך</w:t>
            </w:r>
            <w:r>
              <w:rPr>
                <w:rFonts w:hint="cs"/>
                <w:sz w:val="26"/>
                <w:rtl/>
              </w:rPr>
              <w:t>;</w:t>
            </w:r>
          </w:p>
        </w:tc>
      </w:tr>
      <w:tr w:rsidR="000F0C45" w14:paraId="41BCC9AF" w14:textId="77777777" w:rsidTr="00F90F29">
        <w:trPr>
          <w:cantSplit/>
          <w:trHeight w:val="60"/>
        </w:trPr>
        <w:tc>
          <w:tcPr>
            <w:tcW w:w="1871" w:type="dxa"/>
          </w:tcPr>
          <w:p w14:paraId="1886C663" w14:textId="4FA64B20" w:rsidR="000F0C45" w:rsidRDefault="000F0C45">
            <w:pPr>
              <w:pStyle w:val="TableSideHeading"/>
            </w:pPr>
          </w:p>
        </w:tc>
        <w:tc>
          <w:tcPr>
            <w:tcW w:w="624" w:type="dxa"/>
          </w:tcPr>
          <w:p w14:paraId="05758934" w14:textId="77777777" w:rsidR="000F0C45" w:rsidRDefault="000F0C45">
            <w:pPr>
              <w:pStyle w:val="TableText"/>
            </w:pPr>
          </w:p>
        </w:tc>
        <w:tc>
          <w:tcPr>
            <w:tcW w:w="7150" w:type="dxa"/>
            <w:gridSpan w:val="5"/>
          </w:tcPr>
          <w:p w14:paraId="091D3D13" w14:textId="007732ED" w:rsidR="000F0C45" w:rsidRPr="00C34DE2" w:rsidRDefault="000F0C45">
            <w:pPr>
              <w:pStyle w:val="TableBlock"/>
            </w:pPr>
            <w:r>
              <w:rPr>
                <w:rFonts w:hint="cs"/>
                <w:rtl/>
              </w:rPr>
              <w:t>(</w:t>
            </w:r>
            <w:r w:rsidRPr="001A4204">
              <w:rPr>
                <w:rFonts w:hint="cs"/>
                <w:rtl/>
              </w:rPr>
              <w:t>2)</w:t>
            </w:r>
            <w:r w:rsidRPr="001A4204">
              <w:rPr>
                <w:rtl/>
              </w:rPr>
              <w:tab/>
            </w:r>
            <w:r w:rsidRPr="001A4204">
              <w:rPr>
                <w:rFonts w:hint="eastAsia"/>
                <w:rtl/>
              </w:rPr>
              <w:t>בסעיף</w:t>
            </w:r>
            <w:r w:rsidRPr="001A4204">
              <w:rPr>
                <w:rtl/>
              </w:rPr>
              <w:t xml:space="preserve"> קטן (ב), במקום "</w:t>
            </w:r>
            <w:r w:rsidRPr="001A4204">
              <w:rPr>
                <w:rFonts w:hint="eastAsia"/>
                <w:rtl/>
              </w:rPr>
              <w:t>סעיף</w:t>
            </w:r>
            <w:r w:rsidRPr="001A4204">
              <w:rPr>
                <w:rtl/>
              </w:rPr>
              <w:t xml:space="preserve"> קטן (א)" </w:t>
            </w:r>
            <w:r w:rsidRPr="001A4204">
              <w:rPr>
                <w:rFonts w:hint="eastAsia"/>
                <w:rtl/>
              </w:rPr>
              <w:t>יבוא</w:t>
            </w:r>
            <w:r w:rsidRPr="001A4204">
              <w:rPr>
                <w:rtl/>
              </w:rPr>
              <w:t xml:space="preserve"> "סעיפים </w:t>
            </w:r>
            <w:r w:rsidRPr="001A4204">
              <w:rPr>
                <w:rFonts w:hint="eastAsia"/>
                <w:rtl/>
              </w:rPr>
              <w:t>קטנים</w:t>
            </w:r>
            <w:r w:rsidRPr="001A4204">
              <w:rPr>
                <w:rtl/>
              </w:rPr>
              <w:t xml:space="preserve"> (א) </w:t>
            </w:r>
            <w:r w:rsidRPr="001A4204">
              <w:rPr>
                <w:rFonts w:hint="eastAsia"/>
                <w:rtl/>
              </w:rPr>
              <w:t>ו</w:t>
            </w:r>
            <w:r w:rsidRPr="001A4204">
              <w:rPr>
                <w:rtl/>
              </w:rPr>
              <w:t>-(א1)".</w:t>
            </w:r>
          </w:p>
        </w:tc>
      </w:tr>
      <w:tr w:rsidR="00854F19" w:rsidRPr="00EE4290" w14:paraId="0BA2D94F" w14:textId="77777777" w:rsidTr="00854F19">
        <w:trPr>
          <w:cantSplit/>
        </w:trPr>
        <w:tc>
          <w:tcPr>
            <w:tcW w:w="1871" w:type="dxa"/>
            <w:hideMark/>
          </w:tcPr>
          <w:p w14:paraId="7DEA2BE2" w14:textId="77777777" w:rsidR="00854F19" w:rsidRPr="00EE4290" w:rsidRDefault="00854F19"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tl/>
              </w:rPr>
            </w:pPr>
            <w:r w:rsidRPr="00EE4290">
              <w:rPr>
                <w:rFonts w:ascii="Arial" w:eastAsia="Arial Unicode MS" w:hAnsi="Arial" w:cs="David" w:hint="cs"/>
                <w:spacing w:val="0"/>
                <w:sz w:val="26"/>
                <w:szCs w:val="26"/>
                <w:rtl/>
              </w:rPr>
              <w:t>תיקון סעיף 7</w:t>
            </w:r>
          </w:p>
        </w:tc>
        <w:tc>
          <w:tcPr>
            <w:tcW w:w="624" w:type="dxa"/>
            <w:hideMark/>
          </w:tcPr>
          <w:p w14:paraId="1BA28ACB" w14:textId="77777777" w:rsidR="00854F19" w:rsidRPr="00EE4290" w:rsidRDefault="00854F19"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tl/>
              </w:rPr>
            </w:pPr>
            <w:r w:rsidRPr="00EE4290">
              <w:rPr>
                <w:rFonts w:ascii="Arial" w:eastAsia="Arial Unicode MS" w:hAnsi="Arial" w:cs="David" w:hint="cs"/>
                <w:spacing w:val="0"/>
                <w:sz w:val="26"/>
                <w:szCs w:val="26"/>
                <w:rtl/>
              </w:rPr>
              <w:t>3.</w:t>
            </w:r>
          </w:p>
        </w:tc>
        <w:tc>
          <w:tcPr>
            <w:tcW w:w="7150" w:type="dxa"/>
            <w:gridSpan w:val="5"/>
            <w:hideMark/>
          </w:tcPr>
          <w:p w14:paraId="45B353CE" w14:textId="35141FCE" w:rsidR="00854F19" w:rsidRPr="00EE4290" w:rsidRDefault="000F0C45" w:rsidP="00996595">
            <w:pPr>
              <w:keepLines/>
              <w:tabs>
                <w:tab w:val="left" w:pos="624"/>
                <w:tab w:val="left" w:pos="1247"/>
              </w:tabs>
              <w:snapToGrid w:val="0"/>
              <w:spacing w:before="0" w:line="360" w:lineRule="auto"/>
              <w:ind w:firstLine="0"/>
              <w:textAlignment w:val="auto"/>
              <w:rPr>
                <w:rFonts w:ascii="Arial" w:eastAsia="Arial Unicode MS" w:hAnsi="Arial" w:cs="David"/>
                <w:spacing w:val="0"/>
                <w:sz w:val="26"/>
                <w:szCs w:val="26"/>
                <w:rtl/>
              </w:rPr>
            </w:pPr>
            <w:r>
              <w:rPr>
                <w:rFonts w:ascii="Arial" w:eastAsia="Arial Unicode MS" w:hAnsi="Arial" w:cs="David" w:hint="cs"/>
                <w:spacing w:val="0"/>
                <w:sz w:val="26"/>
                <w:szCs w:val="26"/>
                <w:rtl/>
              </w:rPr>
              <w:t xml:space="preserve">בסעיף 7 לחוק העיקרי, </w:t>
            </w:r>
            <w:r w:rsidR="00854F19" w:rsidRPr="00EE4290">
              <w:rPr>
                <w:rFonts w:ascii="Arial" w:eastAsia="Arial Unicode MS" w:hAnsi="Arial" w:cs="David" w:hint="cs"/>
                <w:spacing w:val="0"/>
                <w:sz w:val="26"/>
                <w:szCs w:val="26"/>
                <w:rtl/>
              </w:rPr>
              <w:t>אחרי סעיף</w:t>
            </w:r>
            <w:r>
              <w:rPr>
                <w:rFonts w:ascii="Arial" w:eastAsia="Arial Unicode MS" w:hAnsi="Arial" w:cs="David" w:hint="cs"/>
                <w:spacing w:val="0"/>
                <w:sz w:val="26"/>
                <w:szCs w:val="26"/>
                <w:rtl/>
              </w:rPr>
              <w:t xml:space="preserve"> קטן</w:t>
            </w:r>
            <w:r w:rsidR="00854F19" w:rsidRPr="00EE4290">
              <w:rPr>
                <w:rFonts w:ascii="Arial" w:eastAsia="Arial Unicode MS" w:hAnsi="Arial" w:cs="David" w:hint="cs"/>
                <w:spacing w:val="0"/>
                <w:sz w:val="26"/>
                <w:szCs w:val="26"/>
                <w:rtl/>
              </w:rPr>
              <w:t xml:space="preserve"> (</w:t>
            </w:r>
            <w:r w:rsidR="005122DC">
              <w:rPr>
                <w:rFonts w:ascii="Arial" w:eastAsia="Arial Unicode MS" w:hAnsi="Arial" w:cs="David" w:hint="cs"/>
                <w:spacing w:val="0"/>
                <w:sz w:val="26"/>
                <w:szCs w:val="26"/>
                <w:rtl/>
              </w:rPr>
              <w:t>א</w:t>
            </w:r>
            <w:r w:rsidR="00854F19" w:rsidRPr="00EE4290">
              <w:rPr>
                <w:rFonts w:ascii="Arial" w:eastAsia="Arial Unicode MS" w:hAnsi="Arial" w:cs="David" w:hint="cs"/>
                <w:spacing w:val="0"/>
                <w:sz w:val="26"/>
                <w:szCs w:val="26"/>
                <w:rtl/>
              </w:rPr>
              <w:t>) יבוא:</w:t>
            </w:r>
          </w:p>
        </w:tc>
      </w:tr>
      <w:tr w:rsidR="00854F19" w:rsidRPr="00EE4290" w14:paraId="79040F08" w14:textId="77777777" w:rsidTr="00854F19">
        <w:trPr>
          <w:cantSplit/>
        </w:trPr>
        <w:tc>
          <w:tcPr>
            <w:tcW w:w="1871" w:type="dxa"/>
          </w:tcPr>
          <w:p w14:paraId="01776C84" w14:textId="77777777" w:rsidR="00854F19" w:rsidRPr="00EE4290" w:rsidRDefault="00854F19"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tl/>
              </w:rPr>
            </w:pPr>
          </w:p>
        </w:tc>
        <w:tc>
          <w:tcPr>
            <w:tcW w:w="624" w:type="dxa"/>
          </w:tcPr>
          <w:p w14:paraId="5D8ABBFF" w14:textId="77777777" w:rsidR="00854F19" w:rsidRPr="00EE4290" w:rsidRDefault="00854F19"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tl/>
              </w:rPr>
            </w:pPr>
          </w:p>
        </w:tc>
        <w:tc>
          <w:tcPr>
            <w:tcW w:w="7150" w:type="dxa"/>
            <w:gridSpan w:val="5"/>
            <w:hideMark/>
          </w:tcPr>
          <w:p w14:paraId="2E5B20BF" w14:textId="7CB91DC4" w:rsidR="00854F19" w:rsidRPr="00EE4290" w:rsidRDefault="000D3FD1" w:rsidP="00996595">
            <w:pPr>
              <w:keepLines/>
              <w:tabs>
                <w:tab w:val="left" w:pos="624"/>
                <w:tab w:val="left" w:pos="1247"/>
              </w:tabs>
              <w:snapToGrid w:val="0"/>
              <w:spacing w:before="0" w:line="360" w:lineRule="auto"/>
              <w:ind w:firstLine="0"/>
              <w:textAlignment w:val="auto"/>
              <w:rPr>
                <w:rFonts w:ascii="Arial" w:eastAsia="Arial Unicode MS" w:hAnsi="Arial" w:cs="David"/>
                <w:spacing w:val="0"/>
                <w:sz w:val="26"/>
                <w:szCs w:val="26"/>
                <w:rtl/>
              </w:rPr>
            </w:pPr>
            <w:r w:rsidRPr="00EE4290">
              <w:rPr>
                <w:rFonts w:ascii="Arial" w:eastAsia="Arial Unicode MS" w:hAnsi="Arial" w:cs="David" w:hint="cs"/>
                <w:spacing w:val="0"/>
                <w:sz w:val="26"/>
                <w:szCs w:val="26"/>
                <w:rtl/>
              </w:rPr>
              <w:t>"</w:t>
            </w:r>
            <w:r>
              <w:rPr>
                <w:rFonts w:ascii="Arial" w:eastAsia="Arial Unicode MS" w:hAnsi="Arial" w:cs="David" w:hint="cs"/>
                <w:spacing w:val="0"/>
                <w:sz w:val="26"/>
                <w:szCs w:val="26"/>
                <w:rtl/>
              </w:rPr>
              <w:t>(א1)</w:t>
            </w:r>
            <w:r>
              <w:rPr>
                <w:rFonts w:ascii="Arial" w:eastAsia="Arial Unicode MS" w:hAnsi="Arial" w:cs="David"/>
                <w:spacing w:val="0"/>
                <w:sz w:val="26"/>
                <w:szCs w:val="26"/>
                <w:rtl/>
              </w:rPr>
              <w:tab/>
            </w:r>
            <w:r>
              <w:rPr>
                <w:rFonts w:ascii="Arial" w:eastAsia="Arial Unicode MS" w:hAnsi="Arial" w:cs="David" w:hint="cs"/>
                <w:spacing w:val="0"/>
                <w:sz w:val="26"/>
                <w:szCs w:val="26"/>
                <w:rtl/>
              </w:rPr>
              <w:t>ב</w:t>
            </w:r>
            <w:r w:rsidRPr="00EE4290">
              <w:rPr>
                <w:rFonts w:ascii="Arial" w:eastAsia="Arial Unicode MS" w:hAnsi="Arial" w:cs="David" w:hint="cs"/>
                <w:spacing w:val="0"/>
                <w:sz w:val="26"/>
                <w:szCs w:val="26"/>
                <w:rtl/>
              </w:rPr>
              <w:t>דיווח</w:t>
            </w:r>
            <w:r>
              <w:rPr>
                <w:rFonts w:ascii="Arial" w:eastAsia="Arial Unicode MS" w:hAnsi="Arial" w:cs="David" w:hint="cs"/>
                <w:spacing w:val="0"/>
                <w:sz w:val="26"/>
                <w:szCs w:val="26"/>
                <w:rtl/>
              </w:rPr>
              <w:t>ים</w:t>
            </w:r>
            <w:r w:rsidRPr="00EE4290">
              <w:rPr>
                <w:rFonts w:ascii="Arial" w:eastAsia="Arial Unicode MS" w:hAnsi="Arial" w:cs="David" w:hint="cs"/>
                <w:spacing w:val="0"/>
                <w:sz w:val="26"/>
                <w:szCs w:val="26"/>
                <w:rtl/>
              </w:rPr>
              <w:t xml:space="preserve"> לפי סעיף </w:t>
            </w:r>
            <w:r>
              <w:rPr>
                <w:rFonts w:ascii="Arial" w:eastAsia="Arial Unicode MS" w:hAnsi="Arial" w:cs="David" w:hint="cs"/>
                <w:spacing w:val="0"/>
                <w:sz w:val="26"/>
                <w:szCs w:val="26"/>
                <w:rtl/>
              </w:rPr>
              <w:t>זה</w:t>
            </w:r>
            <w:r w:rsidRPr="00EE4290">
              <w:rPr>
                <w:rFonts w:ascii="Arial" w:eastAsia="Arial Unicode MS" w:hAnsi="Arial" w:cs="David" w:hint="cs"/>
                <w:spacing w:val="0"/>
                <w:sz w:val="26"/>
                <w:szCs w:val="26"/>
                <w:rtl/>
              </w:rPr>
              <w:t xml:space="preserve"> ידווח יצרן </w:t>
            </w:r>
            <w:r>
              <w:rPr>
                <w:rFonts w:ascii="Arial" w:eastAsia="Arial Unicode MS" w:hAnsi="Arial" w:cs="David" w:hint="cs"/>
                <w:spacing w:val="0"/>
                <w:sz w:val="26"/>
                <w:szCs w:val="26"/>
                <w:rtl/>
              </w:rPr>
              <w:t xml:space="preserve">או </w:t>
            </w:r>
            <w:r w:rsidRPr="00EE4290">
              <w:rPr>
                <w:rFonts w:ascii="Arial" w:eastAsia="Arial Unicode MS" w:hAnsi="Arial" w:cs="David" w:hint="cs"/>
                <w:spacing w:val="0"/>
                <w:sz w:val="26"/>
                <w:szCs w:val="26"/>
                <w:rtl/>
              </w:rPr>
              <w:t xml:space="preserve">יבואן, בנפרד, </w:t>
            </w:r>
            <w:r>
              <w:rPr>
                <w:rFonts w:ascii="Arial" w:eastAsia="Arial Unicode MS" w:hAnsi="Arial" w:cs="David" w:hint="cs"/>
                <w:spacing w:val="0"/>
                <w:sz w:val="26"/>
                <w:szCs w:val="26"/>
                <w:rtl/>
              </w:rPr>
              <w:t>לגבי</w:t>
            </w:r>
            <w:r w:rsidRPr="00EE4290">
              <w:rPr>
                <w:rFonts w:ascii="Arial" w:eastAsia="Arial Unicode MS" w:hAnsi="Arial" w:cs="David" w:hint="cs"/>
                <w:spacing w:val="0"/>
                <w:sz w:val="26"/>
                <w:szCs w:val="26"/>
                <w:rtl/>
              </w:rPr>
              <w:t xml:space="preserve"> מכלי משקה גדולים".</w:t>
            </w:r>
          </w:p>
        </w:tc>
      </w:tr>
      <w:tr w:rsidR="00854F19" w:rsidRPr="00EE4290" w14:paraId="1E2DA6A6" w14:textId="77777777" w:rsidTr="00854F19">
        <w:trPr>
          <w:cantSplit/>
        </w:trPr>
        <w:tc>
          <w:tcPr>
            <w:tcW w:w="1871" w:type="dxa"/>
            <w:hideMark/>
          </w:tcPr>
          <w:p w14:paraId="2BC1A955" w14:textId="64B7E1CF" w:rsidR="00854F19" w:rsidRPr="00EE4290" w:rsidRDefault="00854F19"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tl/>
              </w:rPr>
            </w:pPr>
            <w:r w:rsidRPr="00EE4290">
              <w:rPr>
                <w:rFonts w:ascii="Arial" w:eastAsia="Arial Unicode MS" w:hAnsi="Arial" w:cs="David" w:hint="cs"/>
                <w:spacing w:val="0"/>
                <w:sz w:val="26"/>
                <w:szCs w:val="26"/>
                <w:rtl/>
              </w:rPr>
              <w:t>תיקון חוק הפיקדון</w:t>
            </w:r>
            <w:r w:rsidR="007974E4">
              <w:rPr>
                <w:rFonts w:ascii="Arial" w:eastAsia="Arial Unicode MS" w:hAnsi="Arial" w:cs="David" w:hint="cs"/>
                <w:spacing w:val="0"/>
                <w:sz w:val="26"/>
                <w:szCs w:val="26"/>
                <w:rtl/>
              </w:rPr>
              <w:t xml:space="preserve"> על מכלי משקה</w:t>
            </w:r>
          </w:p>
        </w:tc>
        <w:tc>
          <w:tcPr>
            <w:tcW w:w="624" w:type="dxa"/>
            <w:hideMark/>
          </w:tcPr>
          <w:p w14:paraId="3F89EC6F" w14:textId="43101D62" w:rsidR="00854F19" w:rsidRPr="00EE4290" w:rsidRDefault="00854F19" w:rsidP="00CF0056">
            <w:pPr>
              <w:tabs>
                <w:tab w:val="left" w:pos="624"/>
                <w:tab w:val="left" w:pos="1247"/>
              </w:tabs>
              <w:snapToGrid w:val="0"/>
              <w:spacing w:before="0" w:line="360" w:lineRule="auto"/>
              <w:ind w:right="57" w:firstLine="0"/>
              <w:textAlignment w:val="auto"/>
              <w:rPr>
                <w:rFonts w:ascii="Arial" w:eastAsia="Arial Unicode MS" w:hAnsi="Arial" w:cs="David"/>
                <w:spacing w:val="0"/>
                <w:sz w:val="26"/>
                <w:szCs w:val="26"/>
                <w:rtl/>
              </w:rPr>
            </w:pPr>
            <w:r w:rsidRPr="00EE4290">
              <w:rPr>
                <w:rFonts w:ascii="Arial" w:eastAsia="Arial Unicode MS" w:hAnsi="Arial" w:cs="David" w:hint="cs"/>
                <w:spacing w:val="0"/>
                <w:sz w:val="26"/>
                <w:szCs w:val="26"/>
                <w:rtl/>
              </w:rPr>
              <w:t>4.</w:t>
            </w:r>
          </w:p>
        </w:tc>
        <w:tc>
          <w:tcPr>
            <w:tcW w:w="7150" w:type="dxa"/>
            <w:gridSpan w:val="5"/>
            <w:hideMark/>
          </w:tcPr>
          <w:p w14:paraId="29402DE6" w14:textId="11E3A218" w:rsidR="00854F19" w:rsidRPr="00854F19" w:rsidRDefault="00854F19" w:rsidP="008503EE">
            <w:pPr>
              <w:pStyle w:val="TableBlock"/>
            </w:pPr>
            <w:r w:rsidRPr="008503EE">
              <w:rPr>
                <w:rFonts w:hint="cs"/>
                <w:rtl/>
              </w:rPr>
              <w:t xml:space="preserve">בחוק הפיקדון על מכלי משקה, </w:t>
            </w:r>
            <w:r w:rsidR="007974E4" w:rsidRPr="008503EE">
              <w:rPr>
                <w:rFonts w:hint="cs"/>
                <w:rtl/>
              </w:rPr>
              <w:t>ה</w:t>
            </w:r>
            <w:r w:rsidRPr="008503EE">
              <w:rPr>
                <w:rFonts w:hint="cs"/>
                <w:rtl/>
              </w:rPr>
              <w:t>תשנ"ט</w:t>
            </w:r>
            <w:r w:rsidR="007974E4" w:rsidRPr="008503EE">
              <w:rPr>
                <w:rFonts w:hint="eastAsia"/>
                <w:rtl/>
              </w:rPr>
              <w:t>–</w:t>
            </w:r>
            <w:r w:rsidRPr="008503EE">
              <w:rPr>
                <w:rFonts w:hint="cs"/>
                <w:rtl/>
              </w:rPr>
              <w:t>1999</w:t>
            </w:r>
            <w:r w:rsidR="005B1DF6">
              <w:rPr>
                <w:rFonts w:hint="cs"/>
                <w:rtl/>
              </w:rPr>
              <w:t xml:space="preserve"> </w:t>
            </w:r>
            <w:r w:rsidR="00217707">
              <w:rPr>
                <w:rFonts w:hint="eastAsia"/>
                <w:rtl/>
              </w:rPr>
              <w:t>–</w:t>
            </w:r>
            <w:r w:rsidRPr="008503EE">
              <w:rPr>
                <w:rFonts w:hint="cs"/>
                <w:rtl/>
              </w:rPr>
              <w:t xml:space="preserve"> </w:t>
            </w:r>
          </w:p>
        </w:tc>
      </w:tr>
      <w:tr w:rsidR="00217707" w:rsidRPr="00EE4290" w14:paraId="69D80E7F" w14:textId="77777777" w:rsidTr="00854F19">
        <w:trPr>
          <w:cantSplit/>
        </w:trPr>
        <w:tc>
          <w:tcPr>
            <w:tcW w:w="1871" w:type="dxa"/>
          </w:tcPr>
          <w:p w14:paraId="3C5E0C28" w14:textId="77777777" w:rsidR="00217707" w:rsidRPr="00EE4290" w:rsidRDefault="00217707" w:rsidP="00CF0056">
            <w:pPr>
              <w:tabs>
                <w:tab w:val="left" w:pos="624"/>
                <w:tab w:val="left" w:pos="1247"/>
              </w:tabs>
              <w:snapToGrid w:val="0"/>
              <w:spacing w:before="0" w:line="360" w:lineRule="auto"/>
              <w:ind w:right="57" w:firstLine="0"/>
              <w:jc w:val="left"/>
              <w:textAlignment w:val="auto"/>
              <w:rPr>
                <w:rFonts w:ascii="Arial" w:eastAsia="Arial Unicode MS" w:hAnsi="Arial" w:cs="David"/>
                <w:spacing w:val="0"/>
                <w:sz w:val="26"/>
                <w:szCs w:val="26"/>
                <w:rtl/>
              </w:rPr>
            </w:pPr>
          </w:p>
        </w:tc>
        <w:tc>
          <w:tcPr>
            <w:tcW w:w="624" w:type="dxa"/>
          </w:tcPr>
          <w:p w14:paraId="7F0540BB" w14:textId="77777777" w:rsidR="00217707" w:rsidRPr="00EE4290" w:rsidRDefault="00217707" w:rsidP="00217707">
            <w:pPr>
              <w:pStyle w:val="TableText"/>
              <w:rPr>
                <w:rtl/>
              </w:rPr>
            </w:pPr>
          </w:p>
        </w:tc>
        <w:tc>
          <w:tcPr>
            <w:tcW w:w="7150" w:type="dxa"/>
            <w:gridSpan w:val="5"/>
          </w:tcPr>
          <w:p w14:paraId="07913CD9" w14:textId="5B81335E" w:rsidR="00217707" w:rsidRPr="00217707" w:rsidRDefault="00217707" w:rsidP="00217707">
            <w:pPr>
              <w:pStyle w:val="TableBlock"/>
              <w:rPr>
                <w:rtl/>
              </w:rPr>
            </w:pPr>
            <w:r w:rsidRPr="00217707">
              <w:rPr>
                <w:rFonts w:hint="cs"/>
                <w:rtl/>
              </w:rPr>
              <w:t>(1)</w:t>
            </w:r>
            <w:r w:rsidRPr="00217707">
              <w:rPr>
                <w:rtl/>
              </w:rPr>
              <w:tab/>
            </w:r>
            <w:r w:rsidRPr="00217707">
              <w:rPr>
                <w:rFonts w:hint="cs"/>
                <w:rtl/>
              </w:rPr>
              <w:t>במקום סעיף 7ה יבוא:</w:t>
            </w:r>
          </w:p>
        </w:tc>
      </w:tr>
      <w:tr w:rsidR="008503EE" w14:paraId="23E1D14C" w14:textId="77777777" w:rsidTr="008503EE">
        <w:trPr>
          <w:cantSplit/>
          <w:trHeight w:val="60"/>
        </w:trPr>
        <w:tc>
          <w:tcPr>
            <w:tcW w:w="1871" w:type="dxa"/>
          </w:tcPr>
          <w:p w14:paraId="3B431F04" w14:textId="77777777" w:rsidR="008503EE" w:rsidRDefault="008503EE">
            <w:pPr>
              <w:pStyle w:val="TableSideHeading"/>
              <w:keepLines w:val="0"/>
            </w:pPr>
          </w:p>
        </w:tc>
        <w:tc>
          <w:tcPr>
            <w:tcW w:w="624" w:type="dxa"/>
          </w:tcPr>
          <w:p w14:paraId="1909BCAA" w14:textId="77777777" w:rsidR="008503EE" w:rsidRDefault="008503EE">
            <w:pPr>
              <w:pStyle w:val="TableText"/>
              <w:keepLines w:val="0"/>
            </w:pPr>
          </w:p>
        </w:tc>
        <w:tc>
          <w:tcPr>
            <w:tcW w:w="1872" w:type="dxa"/>
            <w:gridSpan w:val="3"/>
          </w:tcPr>
          <w:p w14:paraId="259781ED" w14:textId="5CE83B43" w:rsidR="008503EE" w:rsidRDefault="000D3FD1">
            <w:pPr>
              <w:pStyle w:val="TableInnerSideHeading"/>
            </w:pPr>
            <w:r>
              <w:rPr>
                <w:rFonts w:hint="cs"/>
                <w:rtl/>
              </w:rPr>
              <w:t>"יעדי איסוף של מכלי משקה גדולים ריקים</w:t>
            </w:r>
          </w:p>
        </w:tc>
        <w:tc>
          <w:tcPr>
            <w:tcW w:w="624" w:type="dxa"/>
          </w:tcPr>
          <w:p w14:paraId="40603578" w14:textId="3EE5EE4B" w:rsidR="008503EE" w:rsidRDefault="008503EE">
            <w:pPr>
              <w:pStyle w:val="TableText"/>
            </w:pPr>
            <w:r>
              <w:rPr>
                <w:rFonts w:hint="cs"/>
                <w:rtl/>
              </w:rPr>
              <w:t>7ה.</w:t>
            </w:r>
          </w:p>
        </w:tc>
        <w:tc>
          <w:tcPr>
            <w:tcW w:w="4654" w:type="dxa"/>
          </w:tcPr>
          <w:p w14:paraId="45F0044D" w14:textId="228852F0" w:rsidR="008503EE" w:rsidRPr="00D90B89" w:rsidRDefault="000D3FD1" w:rsidP="00D90B89">
            <w:pPr>
              <w:pStyle w:val="TableBlock"/>
            </w:pPr>
            <w:r>
              <w:rPr>
                <w:rFonts w:hint="cs"/>
                <w:rtl/>
              </w:rPr>
              <w:t>(א)</w:t>
            </w:r>
            <w:r>
              <w:rPr>
                <w:rtl/>
              </w:rPr>
              <w:tab/>
            </w:r>
            <w:r w:rsidRPr="00D90B89">
              <w:rPr>
                <w:rFonts w:hint="cs"/>
                <w:rtl/>
              </w:rPr>
              <w:t>לא הגיע איסוף מכלי המשקה הגדולים הריקים בשנה כלשהי משנת 2022 ו</w:t>
            </w:r>
            <w:r>
              <w:rPr>
                <w:rFonts w:hint="cs"/>
                <w:rtl/>
              </w:rPr>
              <w:t>אילך</w:t>
            </w:r>
            <w:r w:rsidRPr="00D90B89">
              <w:rPr>
                <w:rFonts w:hint="cs"/>
                <w:rtl/>
              </w:rPr>
              <w:t xml:space="preserve"> לשיעור של 90 אחוזים מ</w:t>
            </w:r>
            <w:r>
              <w:rPr>
                <w:rFonts w:hint="cs"/>
                <w:rtl/>
              </w:rPr>
              <w:t>ה</w:t>
            </w:r>
            <w:r w:rsidRPr="00D90B89">
              <w:rPr>
                <w:rFonts w:hint="cs"/>
                <w:rtl/>
              </w:rPr>
              <w:t>יעד שנקבע בחוק להסדרת הטיפול באריזות, התשע"א</w:t>
            </w:r>
            <w:r w:rsidRPr="00D90B89">
              <w:rPr>
                <w:rFonts w:hint="eastAsia"/>
                <w:rtl/>
              </w:rPr>
              <w:t>–</w:t>
            </w:r>
            <w:r w:rsidRPr="00D90B89">
              <w:rPr>
                <w:rFonts w:hint="cs"/>
                <w:rtl/>
              </w:rPr>
              <w:t>2011</w:t>
            </w:r>
            <w:r>
              <w:rPr>
                <w:rFonts w:hint="cs"/>
                <w:rtl/>
              </w:rPr>
              <w:t xml:space="preserve"> (בסעיף זה </w:t>
            </w:r>
            <w:r>
              <w:rPr>
                <w:rtl/>
              </w:rPr>
              <w:t>–</w:t>
            </w:r>
            <w:r>
              <w:rPr>
                <w:rFonts w:hint="cs"/>
                <w:rtl/>
              </w:rPr>
              <w:t xml:space="preserve"> חוק האריזות) לאותה שנה</w:t>
            </w:r>
            <w:r w:rsidRPr="00D90B89">
              <w:rPr>
                <w:rtl/>
              </w:rPr>
              <w:t>, יודיע על כך השר, בהודעה שתפורסם ברשומות</w:t>
            </w:r>
            <w:r>
              <w:rPr>
                <w:rFonts w:hint="cs"/>
                <w:rtl/>
              </w:rPr>
              <w:t>,</w:t>
            </w:r>
            <w:r w:rsidRPr="00D90B89">
              <w:rPr>
                <w:rtl/>
              </w:rPr>
              <w:t xml:space="preserve"> בתוך ח</w:t>
            </w:r>
            <w:r>
              <w:rPr>
                <w:rFonts w:hint="cs"/>
                <w:rtl/>
              </w:rPr>
              <w:t>צי שנה</w:t>
            </w:r>
            <w:r w:rsidRPr="00D90B89">
              <w:rPr>
                <w:rtl/>
              </w:rPr>
              <w:t xml:space="preserve"> ממועד קבלת </w:t>
            </w:r>
            <w:r>
              <w:rPr>
                <w:rFonts w:hint="cs"/>
                <w:rtl/>
              </w:rPr>
              <w:t xml:space="preserve">הדוח החצי שנתי </w:t>
            </w:r>
            <w:r w:rsidRPr="00D90B89">
              <w:rPr>
                <w:rFonts w:hint="cs"/>
                <w:rtl/>
              </w:rPr>
              <w:t xml:space="preserve">האחרון לאותה שנה, כאמור בסעיף </w:t>
            </w:r>
            <w:r>
              <w:rPr>
                <w:rFonts w:hint="cs"/>
                <w:rtl/>
              </w:rPr>
              <w:t>7 לחוק האריזות</w:t>
            </w:r>
            <w:r w:rsidRPr="00D90B89">
              <w:rPr>
                <w:rFonts w:hint="cs"/>
                <w:rtl/>
              </w:rPr>
              <w:t>.</w:t>
            </w:r>
          </w:p>
        </w:tc>
      </w:tr>
      <w:tr w:rsidR="00397CC3" w14:paraId="1849154C" w14:textId="77777777" w:rsidTr="000D0EB0">
        <w:trPr>
          <w:cantSplit/>
          <w:trHeight w:val="60"/>
        </w:trPr>
        <w:tc>
          <w:tcPr>
            <w:tcW w:w="1871" w:type="dxa"/>
          </w:tcPr>
          <w:p w14:paraId="55A4BA4F" w14:textId="77777777" w:rsidR="00397CC3" w:rsidRDefault="00397CC3">
            <w:pPr>
              <w:pStyle w:val="TableSideHeading"/>
            </w:pPr>
          </w:p>
        </w:tc>
        <w:tc>
          <w:tcPr>
            <w:tcW w:w="624" w:type="dxa"/>
          </w:tcPr>
          <w:p w14:paraId="2B8C4EFA" w14:textId="77777777" w:rsidR="00397CC3" w:rsidRDefault="00397CC3">
            <w:pPr>
              <w:pStyle w:val="TableText"/>
            </w:pPr>
          </w:p>
        </w:tc>
        <w:tc>
          <w:tcPr>
            <w:tcW w:w="624" w:type="dxa"/>
          </w:tcPr>
          <w:p w14:paraId="40BEA456" w14:textId="77777777" w:rsidR="00397CC3" w:rsidRDefault="00397CC3">
            <w:pPr>
              <w:pStyle w:val="TableText"/>
            </w:pPr>
          </w:p>
        </w:tc>
        <w:tc>
          <w:tcPr>
            <w:tcW w:w="624" w:type="dxa"/>
          </w:tcPr>
          <w:p w14:paraId="6CB35713" w14:textId="77777777" w:rsidR="00397CC3" w:rsidRDefault="00397CC3">
            <w:pPr>
              <w:pStyle w:val="TableText"/>
            </w:pPr>
          </w:p>
        </w:tc>
        <w:tc>
          <w:tcPr>
            <w:tcW w:w="624" w:type="dxa"/>
          </w:tcPr>
          <w:p w14:paraId="372059F5" w14:textId="77777777" w:rsidR="00397CC3" w:rsidRDefault="00397CC3">
            <w:pPr>
              <w:pStyle w:val="TableText"/>
            </w:pPr>
          </w:p>
        </w:tc>
        <w:tc>
          <w:tcPr>
            <w:tcW w:w="624" w:type="dxa"/>
          </w:tcPr>
          <w:p w14:paraId="6F27CEC3" w14:textId="77777777" w:rsidR="00397CC3" w:rsidRDefault="00397CC3">
            <w:pPr>
              <w:pStyle w:val="TableText"/>
            </w:pPr>
          </w:p>
        </w:tc>
        <w:tc>
          <w:tcPr>
            <w:tcW w:w="4654" w:type="dxa"/>
          </w:tcPr>
          <w:p w14:paraId="653408F9" w14:textId="74E0123D" w:rsidR="00397CC3" w:rsidRPr="00D90B89" w:rsidRDefault="000D3FD1" w:rsidP="00E845DC">
            <w:pPr>
              <w:pStyle w:val="TableBlock"/>
            </w:pPr>
            <w:r w:rsidRPr="00D90B89">
              <w:rPr>
                <w:rFonts w:hint="cs"/>
                <w:rtl/>
              </w:rPr>
              <w:t>(ב)</w:t>
            </w:r>
            <w:r w:rsidRPr="00D90B89">
              <w:rPr>
                <w:rtl/>
              </w:rPr>
              <w:tab/>
            </w:r>
            <w:r w:rsidRPr="00D90B89">
              <w:rPr>
                <w:rFonts w:hint="cs"/>
                <w:rtl/>
              </w:rPr>
              <w:t>הודיע השר כאמור בסעיף קטן (א), יחולו הוראות חוק זה גם על מכלי משקה גדולים, החל ב-1 לחודש, שלאחר תום 60 ימים ממועד ההודעה</w:t>
            </w:r>
            <w:r>
              <w:rPr>
                <w:rFonts w:hint="cs"/>
                <w:rtl/>
              </w:rPr>
              <w:t xml:space="preserve"> (להלן </w:t>
            </w:r>
            <w:r>
              <w:rPr>
                <w:rtl/>
              </w:rPr>
              <w:t>–</w:t>
            </w:r>
            <w:r>
              <w:rPr>
                <w:rFonts w:hint="cs"/>
                <w:rtl/>
              </w:rPr>
              <w:t xml:space="preserve"> מועד התחילה)</w:t>
            </w:r>
            <w:r w:rsidRPr="00D90B89">
              <w:rPr>
                <w:rtl/>
              </w:rPr>
              <w:t xml:space="preserve">; </w:t>
            </w:r>
            <w:r w:rsidRPr="00D90B89">
              <w:rPr>
                <w:rFonts w:hint="eastAsia"/>
                <w:rtl/>
              </w:rPr>
              <w:t>השר</w:t>
            </w:r>
            <w:r w:rsidRPr="00D90B89">
              <w:rPr>
                <w:rtl/>
              </w:rPr>
              <w:t xml:space="preserve"> רשאי</w:t>
            </w:r>
            <w:r>
              <w:rPr>
                <w:rFonts w:hint="cs"/>
                <w:rtl/>
              </w:rPr>
              <w:t>, בצו,</w:t>
            </w:r>
            <w:r w:rsidRPr="00D90B89">
              <w:rPr>
                <w:rtl/>
              </w:rPr>
              <w:t xml:space="preserve"> ל</w:t>
            </w:r>
            <w:r>
              <w:rPr>
                <w:rFonts w:hint="cs"/>
                <w:rtl/>
              </w:rPr>
              <w:t>דחות</w:t>
            </w:r>
            <w:r w:rsidRPr="00D90B89">
              <w:rPr>
                <w:rtl/>
              </w:rPr>
              <w:t xml:space="preserve"> </w:t>
            </w:r>
            <w:r>
              <w:rPr>
                <w:rFonts w:hint="cs"/>
                <w:rtl/>
              </w:rPr>
              <w:t>את מועד התחילה</w:t>
            </w:r>
            <w:r w:rsidRPr="00D90B89">
              <w:rPr>
                <w:rtl/>
              </w:rPr>
              <w:t xml:space="preserve"> </w:t>
            </w:r>
            <w:r w:rsidRPr="00D90B89">
              <w:rPr>
                <w:rFonts w:hint="eastAsia"/>
                <w:rtl/>
              </w:rPr>
              <w:t>בחצי</w:t>
            </w:r>
            <w:r w:rsidRPr="00D90B89">
              <w:rPr>
                <w:rtl/>
              </w:rPr>
              <w:t xml:space="preserve"> </w:t>
            </w:r>
            <w:r w:rsidRPr="00D90B89">
              <w:rPr>
                <w:rFonts w:hint="eastAsia"/>
                <w:rtl/>
              </w:rPr>
              <w:t>שנה</w:t>
            </w:r>
            <w:r w:rsidRPr="00D90B89">
              <w:rPr>
                <w:rtl/>
              </w:rPr>
              <w:t>.";</w:t>
            </w:r>
          </w:p>
        </w:tc>
      </w:tr>
      <w:tr w:rsidR="00217707" w14:paraId="6ABBD270" w14:textId="77777777" w:rsidTr="00217707">
        <w:trPr>
          <w:cantSplit/>
          <w:trHeight w:val="60"/>
        </w:trPr>
        <w:tc>
          <w:tcPr>
            <w:tcW w:w="1871" w:type="dxa"/>
          </w:tcPr>
          <w:p w14:paraId="514E78E7" w14:textId="6B75FFF3" w:rsidR="00217707" w:rsidRDefault="00217707" w:rsidP="00217707">
            <w:pPr>
              <w:pStyle w:val="TableSideHeading"/>
            </w:pPr>
          </w:p>
        </w:tc>
        <w:tc>
          <w:tcPr>
            <w:tcW w:w="624" w:type="dxa"/>
          </w:tcPr>
          <w:p w14:paraId="4A81075D" w14:textId="1F8C52BE" w:rsidR="00217707" w:rsidRDefault="00217707" w:rsidP="00217707">
            <w:pPr>
              <w:pStyle w:val="TableText"/>
            </w:pPr>
          </w:p>
        </w:tc>
        <w:tc>
          <w:tcPr>
            <w:tcW w:w="7150" w:type="dxa"/>
            <w:gridSpan w:val="5"/>
          </w:tcPr>
          <w:p w14:paraId="530465A2" w14:textId="11FC98D6" w:rsidR="00217707" w:rsidRPr="00D90B89" w:rsidRDefault="00217707" w:rsidP="00D90B89">
            <w:pPr>
              <w:pStyle w:val="TableBlock"/>
            </w:pPr>
            <w:r w:rsidRPr="00D90B89">
              <w:rPr>
                <w:rFonts w:hint="cs"/>
                <w:rtl/>
              </w:rPr>
              <w:t>(2)</w:t>
            </w:r>
            <w:r w:rsidRPr="00D90B89">
              <w:rPr>
                <w:rtl/>
              </w:rPr>
              <w:tab/>
            </w:r>
            <w:r w:rsidRPr="00D90B89">
              <w:rPr>
                <w:rFonts w:hint="cs"/>
                <w:rtl/>
              </w:rPr>
              <w:t xml:space="preserve">סעיף 7ו </w:t>
            </w:r>
            <w:r w:rsidRPr="00D90B89">
              <w:rPr>
                <w:rtl/>
              </w:rPr>
              <w:t>–</w:t>
            </w:r>
            <w:r w:rsidRPr="00D90B89">
              <w:rPr>
                <w:rFonts w:hint="cs"/>
                <w:rtl/>
              </w:rPr>
              <w:t xml:space="preserve"> בטל;</w:t>
            </w:r>
          </w:p>
        </w:tc>
      </w:tr>
      <w:tr w:rsidR="00217707" w14:paraId="312AC128" w14:textId="77777777" w:rsidTr="00217707">
        <w:trPr>
          <w:cantSplit/>
          <w:trHeight w:val="60"/>
        </w:trPr>
        <w:tc>
          <w:tcPr>
            <w:tcW w:w="1871" w:type="dxa"/>
          </w:tcPr>
          <w:p w14:paraId="3DF120E4" w14:textId="36328F3A" w:rsidR="00217707" w:rsidRDefault="00217707" w:rsidP="00217707">
            <w:pPr>
              <w:pStyle w:val="TableSideHeading"/>
            </w:pPr>
          </w:p>
        </w:tc>
        <w:tc>
          <w:tcPr>
            <w:tcW w:w="624" w:type="dxa"/>
          </w:tcPr>
          <w:p w14:paraId="6687AEEE" w14:textId="0F1320E1" w:rsidR="00217707" w:rsidRDefault="00217707" w:rsidP="00217707">
            <w:pPr>
              <w:pStyle w:val="TableText"/>
            </w:pPr>
          </w:p>
        </w:tc>
        <w:tc>
          <w:tcPr>
            <w:tcW w:w="7150" w:type="dxa"/>
            <w:gridSpan w:val="5"/>
          </w:tcPr>
          <w:p w14:paraId="7E4ED412" w14:textId="551175FE" w:rsidR="00217707" w:rsidRPr="00D90B89" w:rsidRDefault="00217707" w:rsidP="00D90B89">
            <w:pPr>
              <w:pStyle w:val="TableBlock"/>
            </w:pPr>
            <w:r w:rsidRPr="00D90B89">
              <w:rPr>
                <w:rFonts w:hint="cs"/>
                <w:rtl/>
              </w:rPr>
              <w:t>(3)</w:t>
            </w:r>
            <w:r w:rsidRPr="00D90B89">
              <w:rPr>
                <w:rtl/>
              </w:rPr>
              <w:tab/>
            </w:r>
            <w:r w:rsidRPr="00D90B89">
              <w:rPr>
                <w:rFonts w:hint="cs"/>
                <w:rtl/>
              </w:rPr>
              <w:t xml:space="preserve">בסעיף 10, סעיף קטן (ה) </w:t>
            </w:r>
            <w:r w:rsidRPr="00D90B89">
              <w:rPr>
                <w:rtl/>
              </w:rPr>
              <w:t>–</w:t>
            </w:r>
            <w:r w:rsidRPr="00D90B89">
              <w:rPr>
                <w:rFonts w:hint="cs"/>
                <w:rtl/>
              </w:rPr>
              <w:t xml:space="preserve"> בטל.</w:t>
            </w:r>
          </w:p>
        </w:tc>
      </w:tr>
    </w:tbl>
    <w:p w14:paraId="7F6961CA" w14:textId="77777777" w:rsidR="002D1EE3" w:rsidRDefault="002D1EE3" w:rsidP="002D1EE3">
      <w:pPr>
        <w:pStyle w:val="HeadDivreiHesber"/>
        <w:rPr>
          <w:rtl/>
        </w:rPr>
      </w:pPr>
      <w:r w:rsidRPr="0027450A">
        <w:rPr>
          <w:rFonts w:hint="cs"/>
          <w:rtl/>
        </w:rPr>
        <w:t>דברי הסבר</w:t>
      </w:r>
    </w:p>
    <w:p w14:paraId="06FE2398" w14:textId="77777777" w:rsidR="000D3FD1" w:rsidRDefault="000D3FD1" w:rsidP="000D3FD1">
      <w:pPr>
        <w:pStyle w:val="Hesber"/>
        <w:rPr>
          <w:rtl/>
        </w:rPr>
      </w:pPr>
      <w:r>
        <w:rPr>
          <w:rtl/>
        </w:rPr>
        <w:t xml:space="preserve">חוק הפיקדון על מכלי משקה, התשנ"ט–1999 (להלן </w:t>
      </w:r>
      <w:r>
        <w:rPr>
          <w:rFonts w:hint="eastAsia"/>
          <w:rtl/>
        </w:rPr>
        <w:t>–</w:t>
      </w:r>
      <w:r>
        <w:rPr>
          <w:rFonts w:hint="cs"/>
          <w:rtl/>
        </w:rPr>
        <w:t xml:space="preserve"> </w:t>
      </w:r>
      <w:r>
        <w:rPr>
          <w:rtl/>
        </w:rPr>
        <w:t>חוק הפיקדון) מגדיר החל משנת 2016</w:t>
      </w:r>
      <w:r>
        <w:rPr>
          <w:rFonts w:hint="cs"/>
          <w:rtl/>
        </w:rPr>
        <w:t xml:space="preserve">, את </w:t>
      </w:r>
      <w:r>
        <w:rPr>
          <w:rtl/>
        </w:rPr>
        <w:t xml:space="preserve">יעד </w:t>
      </w:r>
      <w:r>
        <w:rPr>
          <w:rFonts w:hint="cs"/>
          <w:rtl/>
        </w:rPr>
        <w:t>ה</w:t>
      </w:r>
      <w:r>
        <w:rPr>
          <w:rtl/>
        </w:rPr>
        <w:t>איסוף</w:t>
      </w:r>
      <w:r>
        <w:rPr>
          <w:rFonts w:hint="cs"/>
          <w:rtl/>
        </w:rPr>
        <w:t xml:space="preserve"> </w:t>
      </w:r>
      <w:r>
        <w:rPr>
          <w:rtl/>
        </w:rPr>
        <w:t>למכלי משקה גדולים, שקיבולתם 1.5 ליטר עד 5 ליטר, ש</w:t>
      </w:r>
      <w:r>
        <w:rPr>
          <w:rFonts w:hint="cs"/>
          <w:rtl/>
        </w:rPr>
        <w:t>ח</w:t>
      </w:r>
      <w:r>
        <w:rPr>
          <w:rtl/>
        </w:rPr>
        <w:t>ל על יצרנים ויבואנים של מכלי משקה גדולים</w:t>
      </w:r>
      <w:r>
        <w:rPr>
          <w:rFonts w:hint="cs"/>
          <w:rtl/>
        </w:rPr>
        <w:t>, ה</w:t>
      </w:r>
      <w:r>
        <w:rPr>
          <w:rtl/>
        </w:rPr>
        <w:t>עומד כיום על 55 אחוזי</w:t>
      </w:r>
      <w:r>
        <w:rPr>
          <w:rFonts w:hint="cs"/>
          <w:rtl/>
        </w:rPr>
        <w:t>ם</w:t>
      </w:r>
      <w:r>
        <w:rPr>
          <w:rtl/>
        </w:rPr>
        <w:t xml:space="preserve">. </w:t>
      </w:r>
    </w:p>
    <w:p w14:paraId="5EA83DE8" w14:textId="77777777" w:rsidR="000D3FD1" w:rsidRDefault="000D3FD1" w:rsidP="000D3FD1">
      <w:pPr>
        <w:pStyle w:val="Hesber"/>
        <w:rPr>
          <w:rtl/>
        </w:rPr>
      </w:pPr>
      <w:r>
        <w:rPr>
          <w:rFonts w:hint="cs"/>
          <w:rtl/>
        </w:rPr>
        <w:t>בנוסף</w:t>
      </w:r>
      <w:r>
        <w:rPr>
          <w:rtl/>
        </w:rPr>
        <w:t xml:space="preserve">, נקבעו בחוק הפיקדון הוראות לעניין הטלת </w:t>
      </w:r>
      <w:r>
        <w:rPr>
          <w:rFonts w:hint="cs"/>
          <w:rtl/>
        </w:rPr>
        <w:t xml:space="preserve">חובת </w:t>
      </w:r>
      <w:r>
        <w:rPr>
          <w:rtl/>
        </w:rPr>
        <w:t xml:space="preserve">פיקדון על מכלי משקה גדולים במקרה ששיעורי האיסוף המצרפיים של מכלי משקה גדולים בשנה כלשהי לא </w:t>
      </w:r>
      <w:r>
        <w:rPr>
          <w:rFonts w:hint="cs"/>
          <w:rtl/>
        </w:rPr>
        <w:t>ה</w:t>
      </w:r>
      <w:r>
        <w:rPr>
          <w:rtl/>
        </w:rPr>
        <w:t xml:space="preserve">גיעו </w:t>
      </w:r>
      <w:r>
        <w:rPr>
          <w:rFonts w:hint="cs"/>
          <w:rtl/>
        </w:rPr>
        <w:t>ליעד האיסוף השנתי</w:t>
      </w:r>
      <w:r>
        <w:rPr>
          <w:rtl/>
        </w:rPr>
        <w:t xml:space="preserve">. </w:t>
      </w:r>
      <w:r>
        <w:rPr>
          <w:rFonts w:hint="cs"/>
          <w:rtl/>
        </w:rPr>
        <w:t xml:space="preserve">בשנת 2016 </w:t>
      </w:r>
      <w:r>
        <w:rPr>
          <w:rtl/>
        </w:rPr>
        <w:t xml:space="preserve">שיעור האיסוף המצרפי של מכלי משקה גדולים לא </w:t>
      </w:r>
      <w:r>
        <w:rPr>
          <w:rFonts w:hint="cs"/>
          <w:rtl/>
        </w:rPr>
        <w:t>ה</w:t>
      </w:r>
      <w:r>
        <w:rPr>
          <w:rtl/>
        </w:rPr>
        <w:t xml:space="preserve">גיע </w:t>
      </w:r>
      <w:r>
        <w:rPr>
          <w:rFonts w:hint="cs"/>
          <w:rtl/>
        </w:rPr>
        <w:t>ליעד האיסוף השנתי, הודעה על כך פורסמה ברשומות ב-19 לאוקטובר 2020, וב-2 לדצמבר 2020 פורסם צו הפיקדון על מכלי משקה (דחיית מועד תחולת החוק על מכלי משקה גדולים), התשפ"א-2020 הדוחה את מועד תחילת חובת הפיקדון על מכלי משקה גדולים לתאריך 1 בדצמבר 2020.</w:t>
      </w:r>
    </w:p>
    <w:p w14:paraId="775BD641" w14:textId="77777777" w:rsidR="000D3FD1" w:rsidRDefault="000D3FD1" w:rsidP="000D3FD1">
      <w:pPr>
        <w:pStyle w:val="Hesber"/>
        <w:rPr>
          <w:rtl/>
        </w:rPr>
      </w:pPr>
      <w:r>
        <w:rPr>
          <w:rtl/>
        </w:rPr>
        <w:t xml:space="preserve">מכל משקה גדול </w:t>
      </w:r>
      <w:r>
        <w:rPr>
          <w:rFonts w:hint="cs"/>
          <w:rtl/>
        </w:rPr>
        <w:t>הוא</w:t>
      </w:r>
      <w:r>
        <w:rPr>
          <w:rtl/>
        </w:rPr>
        <w:t xml:space="preserve"> גם אריזה</w:t>
      </w:r>
      <w:r>
        <w:rPr>
          <w:rFonts w:hint="cs"/>
          <w:rtl/>
        </w:rPr>
        <w:t>,</w:t>
      </w:r>
      <w:r>
        <w:rPr>
          <w:rtl/>
        </w:rPr>
        <w:t xml:space="preserve"> כהגדרתה בחוק להסדרת הטיפול באריזות, </w:t>
      </w:r>
      <w:r>
        <w:rPr>
          <w:rFonts w:hint="cs"/>
          <w:rtl/>
        </w:rPr>
        <w:t>ה</w:t>
      </w:r>
      <w:r>
        <w:rPr>
          <w:rtl/>
        </w:rPr>
        <w:t>תשע"א-2011 (להלן</w:t>
      </w:r>
      <w:r>
        <w:rPr>
          <w:rFonts w:hint="cs"/>
          <w:rtl/>
        </w:rPr>
        <w:t xml:space="preserve"> </w:t>
      </w:r>
      <w:r>
        <w:rPr>
          <w:rtl/>
        </w:rPr>
        <w:t>– חוק האריזות)</w:t>
      </w:r>
      <w:r>
        <w:rPr>
          <w:rFonts w:hint="cs"/>
          <w:rtl/>
        </w:rPr>
        <w:t>.</w:t>
      </w:r>
      <w:r>
        <w:rPr>
          <w:rtl/>
        </w:rPr>
        <w:t xml:space="preserve"> על יצרן ויבואן של מכלי משקה גדולים חל</w:t>
      </w:r>
      <w:r>
        <w:rPr>
          <w:rFonts w:hint="cs"/>
          <w:rtl/>
        </w:rPr>
        <w:t>ות</w:t>
      </w:r>
      <w:r>
        <w:rPr>
          <w:rtl/>
        </w:rPr>
        <w:t xml:space="preserve"> החובות שנקבעו בחוק האריזות, </w:t>
      </w:r>
      <w:r>
        <w:rPr>
          <w:rFonts w:hint="cs"/>
          <w:rtl/>
        </w:rPr>
        <w:t>ובעיקרן</w:t>
      </w:r>
      <w:r>
        <w:rPr>
          <w:rtl/>
        </w:rPr>
        <w:t xml:space="preserve"> החובה להתקשר עם גוף מוכר, שפועל לקיום חובות היצרנים והיבואנים למיחזור פסולת האריזות הנוצרת מהמוצרים הארוזים שהם מוכרים, ולשלם לו דמי טיפול </w:t>
      </w:r>
      <w:r>
        <w:rPr>
          <w:rFonts w:hint="cs"/>
          <w:rtl/>
        </w:rPr>
        <w:t>על</w:t>
      </w:r>
      <w:r>
        <w:rPr>
          <w:rtl/>
        </w:rPr>
        <w:t xml:space="preserve"> כך. על יצרן ויבואן של מכלי משקה גדולים לעמוד, באמצעות גוף מוכר, ביעד מיחזור של אריזות פלסטיק בשיעור של 22.5 אחוזים מסך משקל מכלי המשקה הגדולים שמכר באותה שנה.</w:t>
      </w:r>
    </w:p>
    <w:p w14:paraId="193767D0" w14:textId="77777777" w:rsidR="000D3FD1" w:rsidRDefault="000D3FD1" w:rsidP="000D3FD1">
      <w:pPr>
        <w:pStyle w:val="Hesber"/>
        <w:rPr>
          <w:rtl/>
        </w:rPr>
      </w:pPr>
      <w:r>
        <w:rPr>
          <w:rtl/>
        </w:rPr>
        <w:t>כך נוצר מצב שבו, החל משנת 2016, חל</w:t>
      </w:r>
      <w:r>
        <w:rPr>
          <w:rFonts w:hint="cs"/>
          <w:rtl/>
        </w:rPr>
        <w:t>ות</w:t>
      </w:r>
      <w:r>
        <w:rPr>
          <w:rtl/>
        </w:rPr>
        <w:t xml:space="preserve"> על יצרן ויבואן של מכלי משקה גדולים חובות איסוף ומיחזור מקביל</w:t>
      </w:r>
      <w:r>
        <w:rPr>
          <w:rFonts w:hint="cs"/>
          <w:rtl/>
        </w:rPr>
        <w:t>ות</w:t>
      </w:r>
      <w:r>
        <w:rPr>
          <w:rtl/>
        </w:rPr>
        <w:t xml:space="preserve"> </w:t>
      </w:r>
      <w:r>
        <w:rPr>
          <w:rFonts w:hint="cs"/>
          <w:rtl/>
        </w:rPr>
        <w:t>לגבי</w:t>
      </w:r>
      <w:r>
        <w:rPr>
          <w:rtl/>
        </w:rPr>
        <w:t xml:space="preserve"> מכלי משקה גדולים ריקים, לפי הוראות חוק הפיקדון והוראות חוק האריזות.</w:t>
      </w:r>
    </w:p>
    <w:p w14:paraId="7D965520" w14:textId="77777777" w:rsidR="000D3FD1" w:rsidRDefault="000D3FD1" w:rsidP="000D3FD1">
      <w:pPr>
        <w:pStyle w:val="Hesber"/>
        <w:rPr>
          <w:rtl/>
        </w:rPr>
      </w:pPr>
      <w:r>
        <w:rPr>
          <w:rtl/>
        </w:rPr>
        <w:lastRenderedPageBreak/>
        <w:t xml:space="preserve">הטלת </w:t>
      </w:r>
      <w:r>
        <w:rPr>
          <w:rFonts w:hint="cs"/>
          <w:rtl/>
        </w:rPr>
        <w:t xml:space="preserve">חובת </w:t>
      </w:r>
      <w:r>
        <w:rPr>
          <w:rtl/>
        </w:rPr>
        <w:t xml:space="preserve">פיקדון על מכלי המשקה הגדולים תוביל למספר השלכות שליליות, </w:t>
      </w:r>
      <w:r>
        <w:rPr>
          <w:rFonts w:hint="cs"/>
          <w:rtl/>
        </w:rPr>
        <w:t>ביניהן</w:t>
      </w:r>
      <w:r>
        <w:rPr>
          <w:rtl/>
        </w:rPr>
        <w:t xml:space="preserve"> תוספת של כ-200 מיליון שקל</w:t>
      </w:r>
      <w:r>
        <w:rPr>
          <w:rFonts w:hint="cs"/>
          <w:rtl/>
        </w:rPr>
        <w:t xml:space="preserve">ים חדשים </w:t>
      </w:r>
      <w:r>
        <w:rPr>
          <w:rtl/>
        </w:rPr>
        <w:t>בשנה</w:t>
      </w:r>
      <w:r>
        <w:rPr>
          <w:rFonts w:hint="cs"/>
          <w:rtl/>
        </w:rPr>
        <w:t>,</w:t>
      </w:r>
      <w:r>
        <w:rPr>
          <w:rtl/>
        </w:rPr>
        <w:t xml:space="preserve"> </w:t>
      </w:r>
      <w:r>
        <w:rPr>
          <w:rFonts w:hint="cs"/>
          <w:rtl/>
        </w:rPr>
        <w:t>לפחות,</w:t>
      </w:r>
      <w:r>
        <w:rPr>
          <w:rtl/>
        </w:rPr>
        <w:t xml:space="preserve"> להוצאות הצרכנים על רכישת משקאות; </w:t>
      </w:r>
      <w:r>
        <w:rPr>
          <w:rFonts w:hint="cs"/>
          <w:rtl/>
        </w:rPr>
        <w:t>הטלת כורח על הציבור</w:t>
      </w:r>
      <w:r>
        <w:rPr>
          <w:rtl/>
        </w:rPr>
        <w:t xml:space="preserve"> לגשת לבתי עסק לשם קבלת החזר הפיקדון במקום </w:t>
      </w:r>
      <w:r>
        <w:rPr>
          <w:rFonts w:hint="cs"/>
          <w:rtl/>
        </w:rPr>
        <w:t>להשליך את פסולת המיחזור</w:t>
      </w:r>
      <w:r>
        <w:rPr>
          <w:rtl/>
        </w:rPr>
        <w:t xml:space="preserve"> לכלובי האצירה</w:t>
      </w:r>
      <w:r>
        <w:rPr>
          <w:rFonts w:hint="cs"/>
          <w:rtl/>
        </w:rPr>
        <w:t xml:space="preserve"> המוצבים ברחובות</w:t>
      </w:r>
      <w:r>
        <w:rPr>
          <w:rtl/>
        </w:rPr>
        <w:t xml:space="preserve">; תוספת של </w:t>
      </w:r>
      <w:r>
        <w:rPr>
          <w:rFonts w:hint="cs"/>
          <w:rtl/>
        </w:rPr>
        <w:t>הוצאות גבוהות</w:t>
      </w:r>
      <w:r>
        <w:rPr>
          <w:rtl/>
        </w:rPr>
        <w:t xml:space="preserve"> לבתי העסק</w:t>
      </w:r>
      <w:r>
        <w:rPr>
          <w:rFonts w:hint="cs"/>
          <w:rtl/>
        </w:rPr>
        <w:t>,</w:t>
      </w:r>
      <w:r>
        <w:rPr>
          <w:rtl/>
        </w:rPr>
        <w:t xml:space="preserve"> שידרשו לנהל מערך לוגיסטי ותשתיות </w:t>
      </w:r>
      <w:r>
        <w:rPr>
          <w:rFonts w:hint="cs"/>
          <w:rtl/>
        </w:rPr>
        <w:t>כדי</w:t>
      </w:r>
      <w:r>
        <w:rPr>
          <w:rtl/>
        </w:rPr>
        <w:t xml:space="preserve"> לקבל את מכלי המשקה הגדולים</w:t>
      </w:r>
      <w:r>
        <w:rPr>
          <w:rFonts w:hint="cs"/>
          <w:rtl/>
        </w:rPr>
        <w:t xml:space="preserve"> למיחזור</w:t>
      </w:r>
      <w:r>
        <w:rPr>
          <w:rtl/>
        </w:rPr>
        <w:t xml:space="preserve">, וכן השלכות </w:t>
      </w:r>
      <w:r>
        <w:rPr>
          <w:rFonts w:hint="cs"/>
          <w:rtl/>
        </w:rPr>
        <w:t>נוספות ו</w:t>
      </w:r>
      <w:r>
        <w:rPr>
          <w:rtl/>
        </w:rPr>
        <w:t xml:space="preserve">מרחיקות לכת על פעילותם הסדירה של בתי העסק; ביטול תשתיות האיסוף הייעודיות למכלי משקה גדולים; </w:t>
      </w:r>
      <w:r>
        <w:rPr>
          <w:rFonts w:hint="cs"/>
          <w:rtl/>
        </w:rPr>
        <w:t>וחשש ל</w:t>
      </w:r>
      <w:r>
        <w:rPr>
          <w:rtl/>
        </w:rPr>
        <w:t xml:space="preserve">פריצה </w:t>
      </w:r>
      <w:r>
        <w:rPr>
          <w:rFonts w:hint="cs"/>
          <w:rtl/>
        </w:rPr>
        <w:t>לכלובי האצירה</w:t>
      </w:r>
      <w:r>
        <w:rPr>
          <w:rtl/>
        </w:rPr>
        <w:t xml:space="preserve">, פגיעה בהם ופיזור תכולתם, כתוצאה מחיפוש מכלי משקה גדולים לשם קבלת החזר </w:t>
      </w:r>
      <w:r>
        <w:rPr>
          <w:rFonts w:hint="cs"/>
          <w:rtl/>
        </w:rPr>
        <w:t>ה</w:t>
      </w:r>
      <w:r>
        <w:rPr>
          <w:rtl/>
        </w:rPr>
        <w:t>פיקדון.</w:t>
      </w:r>
    </w:p>
    <w:p w14:paraId="793BBC56" w14:textId="7CF076BE" w:rsidR="00854F19" w:rsidRDefault="000D3FD1" w:rsidP="00F90F29">
      <w:pPr>
        <w:pStyle w:val="Hesber"/>
        <w:rPr>
          <w:rtl/>
        </w:rPr>
      </w:pPr>
      <w:r>
        <w:rPr>
          <w:rFonts w:hint="cs"/>
          <w:rtl/>
        </w:rPr>
        <w:t>לפיכך</w:t>
      </w:r>
      <w:r>
        <w:rPr>
          <w:rtl/>
        </w:rPr>
        <w:t>, מוצע</w:t>
      </w:r>
      <w:r>
        <w:rPr>
          <w:rFonts w:hint="cs"/>
          <w:rtl/>
        </w:rPr>
        <w:t xml:space="preserve"> לתקן את חוק האריזות, ולקבוע בו הוראות לעניין יעד איסוף ספציפי למכלי משקה גדולים ולהגדירם לגבי כל שנה בנפרד, עד לשנת 2026 ואילך. במקביל, מוצע לדחות את מועד ההסדר הספציפי שנקבע בחוק הפיקדון לגבי מכלי משקה גדולים לשנת 2022, כאשר הוראות החוק יוחלו על מכלי משקה גדולים אם איסוף מכלי המשקה הגדולים לא יגיע ליעד של 90 אחוזים מהיעד שנקבע בחוק האריזות לאותה שנה. כמו כן, מוצע לבטל את חובות הדיווח והקנסות לעניין מכלי משקה גדולים הקיימים כיום בחוק הפיקדון.</w:t>
      </w:r>
    </w:p>
    <w:p w14:paraId="13C4C9AC" w14:textId="77777777" w:rsidR="009E55CC" w:rsidRDefault="009E55CC" w:rsidP="00F90F29">
      <w:pPr>
        <w:pStyle w:val="Hesber"/>
        <w:rPr>
          <w:rtl/>
        </w:rPr>
      </w:pPr>
    </w:p>
    <w:p w14:paraId="755E5A23" w14:textId="77777777" w:rsidR="009E55CC" w:rsidRPr="00D73212" w:rsidRDefault="009E55CC" w:rsidP="009E55CC">
      <w:pPr>
        <w:pStyle w:val="Hesber"/>
        <w:rPr>
          <w:color w:val="auto"/>
          <w:rtl/>
          <w:lang w:eastAsia="en-US"/>
        </w:rPr>
      </w:pPr>
      <w:r w:rsidRPr="00D73212">
        <w:rPr>
          <w:color w:val="auto"/>
          <w:rtl/>
          <w:lang w:eastAsia="en-US"/>
        </w:rPr>
        <w:t>---------------------------------</w:t>
      </w:r>
    </w:p>
    <w:p w14:paraId="3FB4E36E" w14:textId="77777777" w:rsidR="009E55CC" w:rsidRPr="00D73212" w:rsidRDefault="009E55CC" w:rsidP="009E55CC">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1985D066" w14:textId="77777777" w:rsidR="009E55CC" w:rsidRPr="00D73212" w:rsidRDefault="009E55CC" w:rsidP="009E55CC">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3D989FF0" w14:textId="77777777" w:rsidR="009E55CC" w:rsidRPr="00317312" w:rsidRDefault="009E55CC" w:rsidP="009E55CC">
      <w:pPr>
        <w:pStyle w:val="Hesber"/>
      </w:pPr>
      <w:r>
        <w:rPr>
          <w:rFonts w:hint="cs"/>
          <w:color w:val="auto"/>
          <w:rtl/>
          <w:lang w:eastAsia="en-US"/>
        </w:rPr>
        <w:t xml:space="preserve">ו' בטבת התשפ"א </w:t>
      </w:r>
      <w:r w:rsidRPr="00D73212">
        <w:rPr>
          <w:color w:val="auto"/>
          <w:rtl/>
          <w:lang w:eastAsia="en-US"/>
        </w:rPr>
        <w:t>–</w:t>
      </w:r>
      <w:r>
        <w:rPr>
          <w:rFonts w:hint="cs"/>
          <w:color w:val="auto"/>
          <w:rtl/>
          <w:lang w:eastAsia="en-US"/>
        </w:rPr>
        <w:t xml:space="preserve"> 21.12</w:t>
      </w:r>
      <w:r w:rsidRPr="00D73212">
        <w:rPr>
          <w:color w:val="auto"/>
          <w:rtl/>
          <w:lang w:eastAsia="en-US"/>
        </w:rPr>
        <w:t>.</w:t>
      </w:r>
      <w:r>
        <w:rPr>
          <w:rFonts w:hint="cs"/>
          <w:color w:val="auto"/>
          <w:rtl/>
          <w:lang w:eastAsia="en-US"/>
        </w:rPr>
        <w:t xml:space="preserve">20  </w:t>
      </w:r>
    </w:p>
    <w:p w14:paraId="7F798E8B" w14:textId="77777777" w:rsidR="009E55CC" w:rsidRDefault="009E55CC" w:rsidP="00F90F29">
      <w:pPr>
        <w:pStyle w:val="Hesber"/>
        <w:rPr>
          <w:rtl/>
        </w:rPr>
      </w:pPr>
      <w:bookmarkStart w:id="6" w:name="_GoBack"/>
      <w:bookmarkEnd w:id="6"/>
    </w:p>
    <w:p w14:paraId="09B8B731" w14:textId="5F177EF7" w:rsidR="005122DC" w:rsidRDefault="005122DC" w:rsidP="00996595">
      <w:pPr>
        <w:pStyle w:val="Hesber"/>
        <w:rPr>
          <w:rtl/>
        </w:rPr>
      </w:pPr>
    </w:p>
    <w:sectPr w:rsidR="005122DC"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E55CC">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01592ED" w14:textId="67C4FB5B" w:rsidR="00854F19" w:rsidRDefault="00854F19" w:rsidP="0006297A">
      <w:pPr>
        <w:pStyle w:val="a4"/>
        <w:rPr>
          <w:rFonts w:ascii="Calibri" w:eastAsia="Calibri" w:hAnsi="Calibri" w:cs="Arial"/>
          <w:color w:val="auto"/>
          <w:sz w:val="20"/>
          <w:rtl/>
          <w:lang w:eastAsia="en-US"/>
        </w:rPr>
      </w:pPr>
      <w:r>
        <w:rPr>
          <w:rStyle w:val="a6"/>
        </w:rPr>
        <w:footnoteRef/>
      </w:r>
      <w:r>
        <w:rPr>
          <w:rtl/>
        </w:rPr>
        <w:t xml:space="preserve"> </w:t>
      </w:r>
      <w:r>
        <w:rPr>
          <w:rFonts w:hint="cs"/>
          <w:rtl/>
        </w:rPr>
        <w:t xml:space="preserve">ס"ח </w:t>
      </w:r>
      <w:r w:rsidR="0006297A">
        <w:rPr>
          <w:rFonts w:hint="cs"/>
          <w:rtl/>
        </w:rPr>
        <w:t>ה</w:t>
      </w:r>
      <w:r>
        <w:rPr>
          <w:rFonts w:hint="cs"/>
          <w:rtl/>
        </w:rPr>
        <w:t>תשע"א</w:t>
      </w:r>
      <w:r w:rsidR="0006297A">
        <w:rPr>
          <w:rFonts w:hint="cs"/>
          <w:rtl/>
        </w:rPr>
        <w:t>,</w:t>
      </w:r>
      <w:r>
        <w:rPr>
          <w:rFonts w:hint="cs"/>
          <w:rtl/>
        </w:rPr>
        <w:t xml:space="preserve"> עמ' 278.</w:t>
      </w:r>
    </w:p>
  </w:footnote>
  <w:footnote w:id="3">
    <w:p w14:paraId="7C2686DC" w14:textId="346BBA01" w:rsidR="0006297A" w:rsidRDefault="0006297A">
      <w:pPr>
        <w:pStyle w:val="a4"/>
      </w:pPr>
      <w:r>
        <w:rPr>
          <w:rStyle w:val="a6"/>
        </w:rPr>
        <w:footnoteRef/>
      </w:r>
      <w:r>
        <w:rPr>
          <w:rtl/>
        </w:rPr>
        <w:t xml:space="preserve"> </w:t>
      </w:r>
      <w:r>
        <w:rPr>
          <w:rFonts w:hint="cs"/>
          <w:rtl/>
        </w:rPr>
        <w:t>ס"ח התשנ"ט, עמ' 170.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D7320E"/>
    <w:multiLevelType w:val="hybridMultilevel"/>
    <w:tmpl w:val="030EA90C"/>
    <w:lvl w:ilvl="0" w:tplc="6C36D14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297A"/>
    <w:rsid w:val="00063A3E"/>
    <w:rsid w:val="00072CAC"/>
    <w:rsid w:val="0007681A"/>
    <w:rsid w:val="000A542E"/>
    <w:rsid w:val="000D0EB0"/>
    <w:rsid w:val="000D11F8"/>
    <w:rsid w:val="000D3FD1"/>
    <w:rsid w:val="000F0C45"/>
    <w:rsid w:val="00102B6B"/>
    <w:rsid w:val="001052D4"/>
    <w:rsid w:val="0010644B"/>
    <w:rsid w:val="001207F8"/>
    <w:rsid w:val="00121924"/>
    <w:rsid w:val="001279A8"/>
    <w:rsid w:val="0014195F"/>
    <w:rsid w:val="00152609"/>
    <w:rsid w:val="00153E1B"/>
    <w:rsid w:val="001A0623"/>
    <w:rsid w:val="001A4204"/>
    <w:rsid w:val="001C23B0"/>
    <w:rsid w:val="001D7AAF"/>
    <w:rsid w:val="00203A7F"/>
    <w:rsid w:val="0021633A"/>
    <w:rsid w:val="00217707"/>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97CC3"/>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122DC"/>
    <w:rsid w:val="005146B6"/>
    <w:rsid w:val="00553C9D"/>
    <w:rsid w:val="00562A66"/>
    <w:rsid w:val="005B064E"/>
    <w:rsid w:val="005B1DF6"/>
    <w:rsid w:val="005D51AE"/>
    <w:rsid w:val="005E629B"/>
    <w:rsid w:val="0062674B"/>
    <w:rsid w:val="006363B2"/>
    <w:rsid w:val="00644940"/>
    <w:rsid w:val="006818A9"/>
    <w:rsid w:val="006A2D81"/>
    <w:rsid w:val="006A3855"/>
    <w:rsid w:val="006C1D0D"/>
    <w:rsid w:val="0070601E"/>
    <w:rsid w:val="00712C72"/>
    <w:rsid w:val="00714879"/>
    <w:rsid w:val="00735FE9"/>
    <w:rsid w:val="00751CB0"/>
    <w:rsid w:val="00763CAA"/>
    <w:rsid w:val="00765F66"/>
    <w:rsid w:val="0078664F"/>
    <w:rsid w:val="007974E4"/>
    <w:rsid w:val="007A27CE"/>
    <w:rsid w:val="007C3FA6"/>
    <w:rsid w:val="007D585A"/>
    <w:rsid w:val="007D5A12"/>
    <w:rsid w:val="007E59F9"/>
    <w:rsid w:val="007F5A47"/>
    <w:rsid w:val="00810BCD"/>
    <w:rsid w:val="00812C98"/>
    <w:rsid w:val="00814D92"/>
    <w:rsid w:val="0083181D"/>
    <w:rsid w:val="00843EB2"/>
    <w:rsid w:val="008503EE"/>
    <w:rsid w:val="00854F19"/>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08C9"/>
    <w:rsid w:val="00923CD4"/>
    <w:rsid w:val="00930EFE"/>
    <w:rsid w:val="00943386"/>
    <w:rsid w:val="009456B6"/>
    <w:rsid w:val="00957589"/>
    <w:rsid w:val="00966D06"/>
    <w:rsid w:val="00966EED"/>
    <w:rsid w:val="00982412"/>
    <w:rsid w:val="00983A8D"/>
    <w:rsid w:val="00996595"/>
    <w:rsid w:val="009A0DB8"/>
    <w:rsid w:val="009A7257"/>
    <w:rsid w:val="009D6E0A"/>
    <w:rsid w:val="009E1E33"/>
    <w:rsid w:val="009E55CC"/>
    <w:rsid w:val="00A14672"/>
    <w:rsid w:val="00A26BD6"/>
    <w:rsid w:val="00A443CF"/>
    <w:rsid w:val="00A6611D"/>
    <w:rsid w:val="00A82CB7"/>
    <w:rsid w:val="00A849D1"/>
    <w:rsid w:val="00A942C1"/>
    <w:rsid w:val="00AA2F03"/>
    <w:rsid w:val="00AC36F7"/>
    <w:rsid w:val="00AC63A4"/>
    <w:rsid w:val="00AD239E"/>
    <w:rsid w:val="00B10265"/>
    <w:rsid w:val="00B16A99"/>
    <w:rsid w:val="00B21211"/>
    <w:rsid w:val="00B35784"/>
    <w:rsid w:val="00B733A7"/>
    <w:rsid w:val="00B75C91"/>
    <w:rsid w:val="00B975AD"/>
    <w:rsid w:val="00BA4A23"/>
    <w:rsid w:val="00BC45FB"/>
    <w:rsid w:val="00BF148D"/>
    <w:rsid w:val="00C23B1A"/>
    <w:rsid w:val="00C310EB"/>
    <w:rsid w:val="00C528FD"/>
    <w:rsid w:val="00C9176A"/>
    <w:rsid w:val="00CF1AA2"/>
    <w:rsid w:val="00CF717D"/>
    <w:rsid w:val="00D142D3"/>
    <w:rsid w:val="00D17774"/>
    <w:rsid w:val="00D41BEC"/>
    <w:rsid w:val="00D63620"/>
    <w:rsid w:val="00D8410D"/>
    <w:rsid w:val="00D867D7"/>
    <w:rsid w:val="00D90B89"/>
    <w:rsid w:val="00DB7060"/>
    <w:rsid w:val="00DE3153"/>
    <w:rsid w:val="00E06736"/>
    <w:rsid w:val="00E13C27"/>
    <w:rsid w:val="00E33BBD"/>
    <w:rsid w:val="00E374F2"/>
    <w:rsid w:val="00E45103"/>
    <w:rsid w:val="00E46F47"/>
    <w:rsid w:val="00E55A60"/>
    <w:rsid w:val="00E62778"/>
    <w:rsid w:val="00E635A2"/>
    <w:rsid w:val="00E63D38"/>
    <w:rsid w:val="00E665B9"/>
    <w:rsid w:val="00E845DC"/>
    <w:rsid w:val="00EA01E6"/>
    <w:rsid w:val="00EA3DE8"/>
    <w:rsid w:val="00EA758F"/>
    <w:rsid w:val="00ED4A6F"/>
    <w:rsid w:val="00EF3A3A"/>
    <w:rsid w:val="00EF6BAF"/>
    <w:rsid w:val="00F02DF0"/>
    <w:rsid w:val="00F628D6"/>
    <w:rsid w:val="00F67051"/>
    <w:rsid w:val="00F86A1E"/>
    <w:rsid w:val="00F90F29"/>
    <w:rsid w:val="00FA5E88"/>
    <w:rsid w:val="00FB5BBC"/>
    <w:rsid w:val="00FD2F75"/>
    <w:rsid w:val="00FE3F5C"/>
    <w:rsid w:val="00FF34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22100C7E-1F68-4AE5-8CD3-8E2516B3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854F19"/>
    <w:rPr>
      <w:rFonts w:ascii="Arial" w:eastAsia="Arial Unicode MS" w:hAnsi="Arial" w:cs="David"/>
      <w:snapToGrid w:val="0"/>
      <w:color w:val="000000"/>
      <w:sz w:val="14"/>
      <w:lang w:eastAsia="ja-JP"/>
    </w:rPr>
  </w:style>
  <w:style w:type="paragraph" w:styleId="ae">
    <w:name w:val="List Paragraph"/>
    <w:basedOn w:val="a"/>
    <w:uiPriority w:val="34"/>
    <w:qFormat/>
    <w:rsid w:val="00854F19"/>
    <w:pPr>
      <w:ind w:left="720"/>
      <w:contextualSpacing/>
    </w:pPr>
  </w:style>
  <w:style w:type="character" w:styleId="af">
    <w:name w:val="annotation reference"/>
    <w:basedOn w:val="a0"/>
    <w:semiHidden/>
    <w:unhideWhenUsed/>
    <w:rsid w:val="0006297A"/>
    <w:rPr>
      <w:sz w:val="16"/>
      <w:szCs w:val="16"/>
    </w:rPr>
  </w:style>
  <w:style w:type="paragraph" w:styleId="af0">
    <w:name w:val="annotation text"/>
    <w:basedOn w:val="a"/>
    <w:link w:val="af1"/>
    <w:semiHidden/>
    <w:unhideWhenUsed/>
    <w:rsid w:val="0006297A"/>
    <w:pPr>
      <w:spacing w:line="240" w:lineRule="auto"/>
    </w:pPr>
    <w:rPr>
      <w:sz w:val="20"/>
      <w:szCs w:val="20"/>
    </w:rPr>
  </w:style>
  <w:style w:type="character" w:customStyle="1" w:styleId="af1">
    <w:name w:val="טקסט הערה תו"/>
    <w:basedOn w:val="a0"/>
    <w:link w:val="af0"/>
    <w:semiHidden/>
    <w:rsid w:val="0006297A"/>
    <w:rPr>
      <w:rFonts w:ascii="Hadasa Roso SL" w:hAnsi="Hadasa Roso SL" w:cs="Hadasa Roso SL"/>
      <w:color w:val="000000"/>
      <w:spacing w:val="1"/>
      <w:lang w:eastAsia="ja-JP"/>
    </w:rPr>
  </w:style>
  <w:style w:type="paragraph" w:styleId="af2">
    <w:name w:val="annotation subject"/>
    <w:basedOn w:val="af0"/>
    <w:next w:val="af0"/>
    <w:link w:val="af3"/>
    <w:semiHidden/>
    <w:unhideWhenUsed/>
    <w:rsid w:val="0006297A"/>
    <w:rPr>
      <w:b/>
      <w:bCs/>
    </w:rPr>
  </w:style>
  <w:style w:type="character" w:customStyle="1" w:styleId="af3">
    <w:name w:val="נושא הערה תו"/>
    <w:basedOn w:val="af1"/>
    <w:link w:val="af2"/>
    <w:semiHidden/>
    <w:rsid w:val="0006297A"/>
    <w:rPr>
      <w:rFonts w:ascii="Hadasa Roso SL" w:hAnsi="Hadasa Roso SL" w:cs="Hadasa Roso SL"/>
      <w:b/>
      <w:bCs/>
      <w:color w:val="000000"/>
      <w:spacing w:val="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B2716-7079-41D2-8CF3-896FE7F3D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C3D0A4D-96C2-4C60-B252-420D564A9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3</Pages>
  <Words>645</Words>
  <Characters>3681</Characters>
  <Application>Microsoft Office Word</Application>
  <DocSecurity>0</DocSecurity>
  <Lines>30</Lines>
  <Paragraphs>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דניאלה ווייס עמר</cp:lastModifiedBy>
  <cp:revision>24</cp:revision>
  <cp:lastPrinted>2013-07-04T08:25:00Z</cp:lastPrinted>
  <dcterms:created xsi:type="dcterms:W3CDTF">2015-04-20T09:58:00Z</dcterms:created>
  <dcterms:modified xsi:type="dcterms:W3CDTF">2020-12-17T12:15:00Z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2149107</vt:r8>
  </property>
</Properties>
</file>