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2148658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ג'אבר עסאקלה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עופר כסיף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יוסף ג'בארין</w:t>
      </w:r>
      <w:bookmarkEnd w:id="3"/>
    </w:p>
    <w:p w14:paraId="18A915F2" w14:textId="14638E97" w:rsidR="000D73D7" w:rsidRPr="000D73D7" w:rsidRDefault="00266D86" w:rsidP="000D73D7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  <w:bookmarkStart w:id="4" w:name="LGS_Subject"/>
      <w:r w:rsidR="000D73D7">
        <w:rPr>
          <w:rFonts w:hint="cs"/>
          <w:rtl/>
        </w:rPr>
        <w:t>פ/2527/23</w:t>
      </w:r>
    </w:p>
    <w:p w14:paraId="0098E31E" w14:textId="76A90F1F" w:rsidR="00FE3ACC" w:rsidRPr="00F67051" w:rsidRDefault="00FE3ACC" w:rsidP="00FE3ACC">
      <w:pPr>
        <w:pStyle w:val="HeadHatzaotHok"/>
        <w:rPr>
          <w:rtl/>
        </w:rPr>
      </w:pPr>
      <w:r>
        <w:rPr>
          <w:rFonts w:hint="cs"/>
          <w:rtl/>
        </w:rPr>
        <w:t xml:space="preserve">הצעת חוק עסקאות גופים ציבוריים (תיקון – מניעת העסקה במיקור חוץ בשירות הציבורי), </w:t>
      </w:r>
      <w:r w:rsidR="000D73D7">
        <w:rPr>
          <w:rtl/>
        </w:rPr>
        <w:br/>
      </w:r>
      <w:r>
        <w:rPr>
          <w:rFonts w:hint="cs"/>
          <w:rtl/>
        </w:rPr>
        <w:t>התשפ"א–2020</w:t>
      </w:r>
      <w:bookmarkEnd w:id="4"/>
    </w:p>
    <w:tbl>
      <w:tblPr>
        <w:bidiVisual/>
        <w:tblW w:w="964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625"/>
        <w:gridCol w:w="624"/>
        <w:gridCol w:w="624"/>
        <w:gridCol w:w="624"/>
        <w:gridCol w:w="624"/>
        <w:gridCol w:w="4653"/>
      </w:tblGrid>
      <w:tr w:rsidR="00FE3ACC" w14:paraId="23CD4155" w14:textId="77777777" w:rsidTr="000D73D7">
        <w:trPr>
          <w:cantSplit/>
          <w:trHeight w:val="6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173448B" w14:textId="77777777" w:rsidR="00FE3ACC" w:rsidRDefault="00FE3ACC" w:rsidP="006C07F4">
            <w:pPr>
              <w:pStyle w:val="TableSideHeading"/>
            </w:pPr>
            <w:r>
              <w:rPr>
                <w:sz w:val="26"/>
                <w:rtl/>
              </w:rPr>
              <w:t>הוספת סעיף 2</w:t>
            </w:r>
            <w:r>
              <w:rPr>
                <w:rFonts w:hint="cs"/>
                <w:rtl/>
              </w:rPr>
              <w:t>ב2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E194C0A" w14:textId="77777777" w:rsidR="00FE3ACC" w:rsidRDefault="00FE3ACC" w:rsidP="006C07F4">
            <w:pPr>
              <w:pStyle w:val="TableBlock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86F763" w14:textId="77777777" w:rsidR="00FE3ACC" w:rsidRDefault="00FE3ACC" w:rsidP="006C07F4">
            <w:pPr>
              <w:pStyle w:val="TableBlock"/>
            </w:pPr>
            <w:r>
              <w:rPr>
                <w:sz w:val="26"/>
                <w:rtl/>
              </w:rPr>
              <w:t>בחוק עסקאות גופים ציבוריים, התשל"ו–1976</w:t>
            </w:r>
            <w:r w:rsidRPr="00656549">
              <w:rPr>
                <w:rStyle w:val="a6"/>
                <w:szCs w:val="20"/>
                <w:vertAlign w:val="baseline"/>
                <w:rtl/>
              </w:rPr>
              <w:footnoteReference w:id="2"/>
            </w:r>
            <w:r>
              <w:rPr>
                <w:sz w:val="26"/>
                <w:rtl/>
              </w:rPr>
              <w:t>, אחרי סעיף 2ב</w:t>
            </w:r>
            <w:r>
              <w:rPr>
                <w:rFonts w:hint="cs"/>
                <w:sz w:val="26"/>
                <w:rtl/>
              </w:rPr>
              <w:t>1</w:t>
            </w:r>
            <w:r>
              <w:rPr>
                <w:sz w:val="26"/>
                <w:rtl/>
              </w:rPr>
              <w:t xml:space="preserve"> יבוא:</w:t>
            </w:r>
          </w:p>
        </w:tc>
      </w:tr>
      <w:tr w:rsidR="00FE3ACC" w14:paraId="507595D1" w14:textId="77777777" w:rsidTr="000D73D7">
        <w:trPr>
          <w:cantSplit/>
          <w:trHeight w:val="6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14502A18" w14:textId="77777777" w:rsidR="00FE3ACC" w:rsidRDefault="00FE3ACC" w:rsidP="006C07F4">
            <w:pPr>
              <w:pStyle w:val="TableSideHeading"/>
              <w:keepLines w:val="0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26B8C22" w14:textId="77777777" w:rsidR="00FE3ACC" w:rsidRDefault="00FE3ACC" w:rsidP="006C07F4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BD964" w14:textId="77777777" w:rsidR="00FE3ACC" w:rsidRDefault="00FE3ACC" w:rsidP="006C07F4">
            <w:pPr>
              <w:pStyle w:val="TableInnerSideHeading"/>
            </w:pPr>
            <w:r>
              <w:rPr>
                <w:sz w:val="26"/>
                <w:rtl/>
              </w:rPr>
              <w:t>"עסקה של גוף ציבורי עם קבלן שירות או קבלן כוח אדם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CFFBC2D" w14:textId="77777777" w:rsidR="00FE3ACC" w:rsidRDefault="00FE3ACC" w:rsidP="006C07F4">
            <w:pPr>
              <w:pStyle w:val="TableText"/>
            </w:pPr>
            <w:r>
              <w:rPr>
                <w:sz w:val="26"/>
                <w:rtl/>
              </w:rPr>
              <w:t>2</w:t>
            </w:r>
            <w:r>
              <w:rPr>
                <w:rFonts w:hint="cs"/>
                <w:sz w:val="26"/>
                <w:rtl/>
              </w:rPr>
              <w:t>ב2</w:t>
            </w:r>
            <w:r>
              <w:rPr>
                <w:sz w:val="26"/>
                <w:rtl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39E2E4F0" w14:textId="77777777" w:rsidR="00FE3ACC" w:rsidRDefault="00FE3ACC" w:rsidP="006C07F4">
            <w:pPr>
              <w:pStyle w:val="TableBlock"/>
            </w:pPr>
            <w:r>
              <w:rPr>
                <w:sz w:val="26"/>
                <w:rtl/>
              </w:rPr>
              <w:t>(א)</w:t>
            </w:r>
            <w:r>
              <w:rPr>
                <w:sz w:val="26"/>
                <w:rtl/>
              </w:rPr>
              <w:tab/>
              <w:t>לא יתקשר גוף ציבורי בעסקה עם קבלן כוח אדם או קבלן שירות, להעסקת עובדים באופן רציף וקבוע אצל הגוף הציבורי</w:t>
            </w:r>
            <w:r>
              <w:rPr>
                <w:rFonts w:hint="cs"/>
                <w:sz w:val="26"/>
                <w:rtl/>
              </w:rPr>
              <w:t xml:space="preserve"> או עבורו</w:t>
            </w:r>
            <w:r>
              <w:rPr>
                <w:sz w:val="26"/>
                <w:rtl/>
              </w:rPr>
              <w:t xml:space="preserve">, אלא אם כן העסקה נדרשת לגוף הציבורי לשם ביצוע עבודה או שירות הדורשים ידע ומומחיות מיוחדים אשר העמדתם על ידי הגוף הציבורי בעצמו היא בלתי סבירה באופן קיצוני. </w:t>
            </w:r>
          </w:p>
        </w:tc>
      </w:tr>
      <w:tr w:rsidR="00FE3ACC" w14:paraId="54947693" w14:textId="77777777" w:rsidTr="000D73D7">
        <w:trPr>
          <w:cantSplit/>
          <w:trHeight w:val="6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4A014978" w14:textId="77777777" w:rsidR="00FE3ACC" w:rsidRDefault="00FE3ACC" w:rsidP="006C07F4">
            <w:pPr>
              <w:pStyle w:val="TableSideHeading"/>
              <w:keepLines w:val="0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E6C5291" w14:textId="77777777" w:rsidR="00FE3ACC" w:rsidRDefault="00FE3ACC" w:rsidP="006C07F4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85394" w14:textId="77777777" w:rsidR="00FE3ACC" w:rsidRDefault="00FE3ACC" w:rsidP="006C07F4">
            <w:pPr>
              <w:pStyle w:val="TableInnerSideHeading"/>
              <w:rPr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09B1282" w14:textId="77777777" w:rsidR="00FE3ACC" w:rsidRDefault="00FE3ACC" w:rsidP="006C07F4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4821D27A" w14:textId="77777777" w:rsidR="00FE3ACC" w:rsidRDefault="00FE3ACC" w:rsidP="006C07F4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(ב)</w:t>
            </w:r>
            <w:r>
              <w:rPr>
                <w:sz w:val="26"/>
                <w:rtl/>
              </w:rPr>
              <w:tab/>
              <w:t>בסעיף זה –</w:t>
            </w:r>
          </w:p>
        </w:tc>
      </w:tr>
      <w:tr w:rsidR="00FE3ACC" w14:paraId="149D9200" w14:textId="77777777" w:rsidTr="000D73D7">
        <w:trPr>
          <w:cantSplit/>
          <w:trHeight w:val="6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5E95C097" w14:textId="77777777" w:rsidR="00FE3ACC" w:rsidRDefault="00FE3ACC" w:rsidP="006C07F4">
            <w:pPr>
              <w:pStyle w:val="TableSideHeading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20A3CDE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DCDEC96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FFA0B75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69686F4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7C43DCB" w14:textId="77777777" w:rsidR="00FE3ACC" w:rsidRDefault="00FE3ACC" w:rsidP="006C07F4">
            <w:pPr>
              <w:pStyle w:val="TableText"/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7E8377F3" w14:textId="77777777" w:rsidR="00FE3ACC" w:rsidRDefault="00FE3ACC" w:rsidP="006C07F4">
            <w:pPr>
              <w:pStyle w:val="TableBlockOutdent"/>
            </w:pPr>
            <w:r>
              <w:rPr>
                <w:sz w:val="26"/>
                <w:rtl/>
              </w:rPr>
              <w:t>"גוף ציבורי" – כהגדרתו בסעיף 2ב;</w:t>
            </w:r>
          </w:p>
        </w:tc>
      </w:tr>
      <w:tr w:rsidR="00FE3ACC" w14:paraId="73156E14" w14:textId="77777777" w:rsidTr="000D73D7">
        <w:trPr>
          <w:cantSplit/>
          <w:trHeight w:val="6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7BF6D30D" w14:textId="77777777" w:rsidR="00FE3ACC" w:rsidRDefault="00FE3ACC" w:rsidP="006C07F4">
            <w:pPr>
              <w:pStyle w:val="TableSideHeading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70B9DBF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3AF8453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F743920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8C0335A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07EDC6A" w14:textId="77777777" w:rsidR="00FE3ACC" w:rsidRDefault="00FE3ACC" w:rsidP="006C07F4">
            <w:pPr>
              <w:pStyle w:val="TableText"/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6DDA8461" w14:textId="77777777" w:rsidR="00FE3ACC" w:rsidRDefault="00FE3ACC" w:rsidP="006C07F4">
            <w:pPr>
              <w:pStyle w:val="TableBlockOutdent"/>
            </w:pPr>
            <w:r>
              <w:rPr>
                <w:sz w:val="26"/>
                <w:rtl/>
              </w:rPr>
              <w:t>"קבלן כוח אדם" – כהגדרתו בחוק העסקת עובדים על ידי קבלני כוח אדם, התשנ"ו–1996</w:t>
            </w:r>
            <w:r w:rsidRPr="00656549">
              <w:rPr>
                <w:szCs w:val="20"/>
                <w:rtl/>
              </w:rPr>
              <w:footnoteReference w:id="3"/>
            </w:r>
            <w:r>
              <w:rPr>
                <w:sz w:val="26"/>
                <w:rtl/>
              </w:rPr>
              <w:t>;</w:t>
            </w:r>
          </w:p>
        </w:tc>
      </w:tr>
      <w:tr w:rsidR="00FE3ACC" w14:paraId="4A7F15F0" w14:textId="77777777" w:rsidTr="000D73D7">
        <w:trPr>
          <w:cantSplit/>
          <w:trHeight w:val="6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182CE463" w14:textId="77777777" w:rsidR="00FE3ACC" w:rsidRDefault="00FE3ACC" w:rsidP="006C07F4">
            <w:pPr>
              <w:pStyle w:val="TableSideHeading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D426BD5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82F70E4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F0AC29A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AD87DBD" w14:textId="77777777" w:rsidR="00FE3ACC" w:rsidRDefault="00FE3ACC" w:rsidP="006C07F4">
            <w:pPr>
              <w:pStyle w:val="TableTex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E5C95CD" w14:textId="77777777" w:rsidR="00FE3ACC" w:rsidRDefault="00FE3ACC" w:rsidP="006C07F4">
            <w:pPr>
              <w:pStyle w:val="TableText"/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60EBA0A7" w14:textId="77777777" w:rsidR="00FE3ACC" w:rsidRDefault="00FE3ACC" w:rsidP="006C07F4">
            <w:pPr>
              <w:pStyle w:val="TableBlockOutdent"/>
            </w:pPr>
            <w:r>
              <w:rPr>
                <w:sz w:val="26"/>
                <w:rtl/>
              </w:rPr>
              <w:t>"קבלן שירות" – מי שעיסוקו במתן שירות באמצעות עובדיו, אצל זולתו."</w:t>
            </w:r>
          </w:p>
        </w:tc>
      </w:tr>
    </w:tbl>
    <w:p w14:paraId="087967EA" w14:textId="77777777" w:rsidR="00FE3ACC" w:rsidRDefault="00FE3ACC" w:rsidP="00FE3ACC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49439AD" w14:textId="77777777" w:rsidR="00FE3ACC" w:rsidRPr="00F57232" w:rsidRDefault="00FE3ACC" w:rsidP="000D73D7">
      <w:pPr>
        <w:pStyle w:val="Hesber"/>
        <w:spacing w:line="276" w:lineRule="auto"/>
        <w:rPr>
          <w:rtl/>
        </w:rPr>
      </w:pPr>
      <w:r w:rsidRPr="00C73665">
        <w:rPr>
          <w:rtl/>
        </w:rPr>
        <w:t xml:space="preserve">מטרת הצעת </w:t>
      </w:r>
      <w:r w:rsidRPr="00C73665">
        <w:rPr>
          <w:rFonts w:hint="cs"/>
          <w:rtl/>
        </w:rPr>
        <w:t>ה</w:t>
      </w:r>
      <w:r w:rsidRPr="00C73665">
        <w:rPr>
          <w:rtl/>
        </w:rPr>
        <w:t>חוק היא לקבוע תנאים שיובילו להעסקה ישירה של עובדי</w:t>
      </w:r>
      <w:r w:rsidRPr="00C73665">
        <w:rPr>
          <w:rFonts w:hint="cs"/>
          <w:rtl/>
        </w:rPr>
        <w:t>ם</w:t>
      </w:r>
      <w:r w:rsidRPr="00C73665">
        <w:rPr>
          <w:rtl/>
        </w:rPr>
        <w:t xml:space="preserve"> </w:t>
      </w:r>
      <w:r w:rsidRPr="00C73665">
        <w:rPr>
          <w:rFonts w:hint="cs"/>
          <w:rtl/>
        </w:rPr>
        <w:t xml:space="preserve">בשירות הציבורי </w:t>
      </w:r>
      <w:r w:rsidRPr="00C73665">
        <w:rPr>
          <w:rtl/>
        </w:rPr>
        <w:t xml:space="preserve">– </w:t>
      </w:r>
      <w:r w:rsidRPr="00C73665">
        <w:rPr>
          <w:rtl/>
        </w:rPr>
        <w:lastRenderedPageBreak/>
        <w:t xml:space="preserve">משרדי ממשלה, רשויות מקומיות, רשויות ממשלתיות ואחרות. </w:t>
      </w:r>
    </w:p>
    <w:p w14:paraId="35756822" w14:textId="77777777" w:rsidR="00FE3ACC" w:rsidRPr="00C73665" w:rsidRDefault="00FE3ACC" w:rsidP="000D73D7">
      <w:pPr>
        <w:pStyle w:val="Hesber"/>
        <w:spacing w:line="276" w:lineRule="auto"/>
        <w:rPr>
          <w:rtl/>
        </w:rPr>
      </w:pPr>
      <w:r w:rsidRPr="00F57232">
        <w:rPr>
          <w:rtl/>
        </w:rPr>
        <w:t xml:space="preserve">דוחות מבקר המדינה, הוראות החשב הכללי, הודעות נציבות שירות המדינה והכתיבה האקדמית והעיתונאית, </w:t>
      </w:r>
      <w:r w:rsidRPr="00C73665">
        <w:rPr>
          <w:rFonts w:hint="eastAsia"/>
          <w:rtl/>
        </w:rPr>
        <w:t>מצביעים</w:t>
      </w:r>
      <w:r w:rsidRPr="00C73665">
        <w:rPr>
          <w:rtl/>
        </w:rPr>
        <w:t xml:space="preserve"> באופן ברור </w:t>
      </w:r>
      <w:r w:rsidRPr="00C73665">
        <w:rPr>
          <w:rFonts w:hint="eastAsia"/>
          <w:rtl/>
        </w:rPr>
        <w:t>על</w:t>
      </w:r>
      <w:r w:rsidRPr="00C73665">
        <w:rPr>
          <w:rtl/>
        </w:rPr>
        <w:t xml:space="preserve"> הכשלים של שיטת מיקור החוץ. השירות הציבורי מאופיין בהעסקה ארוכת טווח של עובדי קבלן בתפקידים הכוללים אחריות שלטונית, בתנאים נחותים ביחס לחבריהם</w:t>
      </w:r>
      <w:r>
        <w:rPr>
          <w:rFonts w:hint="cs"/>
          <w:rtl/>
        </w:rPr>
        <w:t xml:space="preserve"> לעבודה</w:t>
      </w:r>
      <w:r w:rsidRPr="00C73665">
        <w:rPr>
          <w:rtl/>
        </w:rPr>
        <w:t>, מעבר לתקן המוכתב, ובל</w:t>
      </w:r>
      <w:r w:rsidRPr="00C73665">
        <w:rPr>
          <w:rFonts w:hint="eastAsia"/>
          <w:rtl/>
        </w:rPr>
        <w:t>י</w:t>
      </w:r>
      <w:r w:rsidRPr="00C73665">
        <w:rPr>
          <w:rtl/>
        </w:rPr>
        <w:t xml:space="preserve"> פיקוח נדרש של נציבות שירות המדינה. </w:t>
      </w:r>
    </w:p>
    <w:p w14:paraId="7428A25C" w14:textId="77777777" w:rsidR="00FE3ACC" w:rsidRPr="00C73665" w:rsidRDefault="00FE3ACC" w:rsidP="000D73D7">
      <w:pPr>
        <w:pStyle w:val="Hesber"/>
        <w:spacing w:line="276" w:lineRule="auto"/>
        <w:rPr>
          <w:rtl/>
        </w:rPr>
      </w:pPr>
      <w:r w:rsidRPr="00C73665">
        <w:rPr>
          <w:rtl/>
        </w:rPr>
        <w:t xml:space="preserve">הגופים הרגולטוריים הרלוונטיים – נציבות שירות המדינה, החשב הכללי, מבקר המדינה ובמידה מסוימת אף בתי הדין לעבודה –  מודעים למצב זה ומתריעים על הכשלים הנובעים ממנו </w:t>
      </w:r>
      <w:r w:rsidRPr="00C73665">
        <w:rPr>
          <w:rFonts w:hint="eastAsia"/>
          <w:rtl/>
        </w:rPr>
        <w:t>כבר</w:t>
      </w:r>
      <w:r w:rsidRPr="00C73665">
        <w:rPr>
          <w:rtl/>
        </w:rPr>
        <w:t xml:space="preserve"> </w:t>
      </w:r>
      <w:r>
        <w:rPr>
          <w:rFonts w:hint="cs"/>
          <w:rtl/>
        </w:rPr>
        <w:t>שנים רבות</w:t>
      </w:r>
      <w:r w:rsidRPr="00C73665">
        <w:rPr>
          <w:rtl/>
        </w:rPr>
        <w:t>. למרות זאת, משרדי הממשלה, בהכוונה או הכפפה של משרד האוצר, מסרבים לשנות באופן משמעותי את דפוסי ההעסקה במגזר הציבורי.</w:t>
      </w:r>
    </w:p>
    <w:p w14:paraId="55E9A499" w14:textId="77777777" w:rsidR="00FE3ACC" w:rsidRPr="00C73665" w:rsidRDefault="00FE3ACC" w:rsidP="000D73D7">
      <w:pPr>
        <w:pStyle w:val="Hesber"/>
        <w:spacing w:line="276" w:lineRule="auto"/>
      </w:pPr>
      <w:r w:rsidRPr="00C73665">
        <w:rPr>
          <w:rFonts w:hint="eastAsia"/>
          <w:rtl/>
        </w:rPr>
        <w:t>על</w:t>
      </w:r>
      <w:r w:rsidRPr="00C73665">
        <w:rPr>
          <w:rtl/>
        </w:rPr>
        <w:t xml:space="preserve"> משרדי הממשלה להכיר בחובות המוטלות עליהם כחלק </w:t>
      </w:r>
      <w:r w:rsidRPr="00C73665">
        <w:rPr>
          <w:rFonts w:hint="eastAsia"/>
          <w:rtl/>
        </w:rPr>
        <w:t>מפעילותם</w:t>
      </w:r>
      <w:r w:rsidRPr="00C73665">
        <w:rPr>
          <w:rtl/>
        </w:rPr>
        <w:t xml:space="preserve"> השוטפת וכתוצאה מהטלת משימות </w:t>
      </w:r>
      <w:r w:rsidRPr="00C73665">
        <w:rPr>
          <w:rFonts w:hint="eastAsia"/>
          <w:rtl/>
        </w:rPr>
        <w:t>מסוימות</w:t>
      </w:r>
      <w:r w:rsidRPr="00C73665">
        <w:rPr>
          <w:rtl/>
        </w:rPr>
        <w:t xml:space="preserve"> על ידי המחוקק. התמודדות עם משימות אלו בדרך של העסקה עקיפה פוגעת לא רק בזכויות העובדים וביכולת לנהל מנגנון ממשלתי בצורה תקינה, אלא גם מ</w:t>
      </w:r>
      <w:r w:rsidRPr="00C73665">
        <w:rPr>
          <w:rFonts w:hint="eastAsia"/>
          <w:rtl/>
        </w:rPr>
        <w:t>טעה</w:t>
      </w:r>
      <w:r w:rsidRPr="00C73665">
        <w:rPr>
          <w:rtl/>
        </w:rPr>
        <w:t xml:space="preserve"> </w:t>
      </w:r>
      <w:r w:rsidRPr="00C73665">
        <w:rPr>
          <w:rFonts w:hint="eastAsia"/>
          <w:rtl/>
        </w:rPr>
        <w:t>את</w:t>
      </w:r>
      <w:r w:rsidRPr="00C73665">
        <w:rPr>
          <w:rtl/>
        </w:rPr>
        <w:t xml:space="preserve"> הציבור בנוגע לגודלו האמיתי של המגזר הציבורי</w:t>
      </w:r>
      <w:r w:rsidRPr="00C73665">
        <w:t>.</w:t>
      </w:r>
    </w:p>
    <w:p w14:paraId="7F5C611D" w14:textId="77777777" w:rsidR="00FE3ACC" w:rsidRPr="00C73665" w:rsidRDefault="00FE3ACC" w:rsidP="000D73D7">
      <w:pPr>
        <w:pStyle w:val="Hesber"/>
        <w:spacing w:line="276" w:lineRule="auto"/>
        <w:rPr>
          <w:rtl/>
        </w:rPr>
      </w:pPr>
      <w:r w:rsidRPr="00C73665">
        <w:rPr>
          <w:rtl/>
        </w:rPr>
        <w:t xml:space="preserve">האתגר המרכזי העומד לפתחם של העוסקים במיקור חוץ של כוח אדם – רשויות מפקחות, בתי הדין לעבודה, מוסדות אקדמיים וארגונים חברתיים – הוא לבחון את ההתקשרות של רשויות המדינה עם חברות שירותים. </w:t>
      </w:r>
    </w:p>
    <w:p w14:paraId="16068615" w14:textId="77777777" w:rsidR="00FE3ACC" w:rsidRPr="00C73665" w:rsidRDefault="00FE3ACC" w:rsidP="000D73D7">
      <w:pPr>
        <w:pStyle w:val="Hesber"/>
        <w:spacing w:line="276" w:lineRule="auto"/>
        <w:rPr>
          <w:rtl/>
        </w:rPr>
      </w:pPr>
      <w:r w:rsidRPr="00C73665">
        <w:rPr>
          <w:rtl/>
        </w:rPr>
        <w:t xml:space="preserve">התובנות שכבר התגבשו בכל הנוגע להעסקת עובדים באמצעות קבלני כוח אדם רלוונטיות גם להעסקת עובדים באמצעות קבלני שירותים: החיסכון בעלויות אינו חד-משמעי; קיים פיקוח מוגבל על איכות כוח האדם המבצע </w:t>
      </w:r>
      <w:r w:rsidRPr="00F57232">
        <w:rPr>
          <w:rFonts w:hint="cs"/>
          <w:rtl/>
        </w:rPr>
        <w:t>תפקידים</w:t>
      </w:r>
      <w:r w:rsidRPr="00F57232">
        <w:rPr>
          <w:rtl/>
        </w:rPr>
        <w:t xml:space="preserve"> עבור המגזר הציבורי; כמות העובדים המועסק</w:t>
      </w:r>
      <w:r w:rsidRPr="00F57232">
        <w:rPr>
          <w:rFonts w:hint="cs"/>
          <w:rtl/>
        </w:rPr>
        <w:t>ים במתכונת זו</w:t>
      </w:r>
      <w:r w:rsidRPr="00F57232">
        <w:rPr>
          <w:rtl/>
        </w:rPr>
        <w:t xml:space="preserve"> עשויה לנפח את המנגנון הממשלתי; השמירה על זכויות </w:t>
      </w:r>
      <w:r w:rsidRPr="00C73665">
        <w:rPr>
          <w:rtl/>
        </w:rPr>
        <w:t xml:space="preserve">העובדים מצטמצמת; המקצועיות של השירות הציבורי והזיכרון הארגוני שלו אובדים, וכך גם יכולתו לפקח באופן אפקטיבי על השירות שהוא רוכש; </w:t>
      </w:r>
      <w:r>
        <w:rPr>
          <w:rFonts w:hint="cs"/>
          <w:rtl/>
        </w:rPr>
        <w:t>הדבר חותר</w:t>
      </w:r>
      <w:r w:rsidRPr="00C73665">
        <w:rPr>
          <w:rtl/>
        </w:rPr>
        <w:t xml:space="preserve"> תחת כוח ארגוני העובדים; ובסופו של יום – עובדי קבלן השירותים עשויים לתבוע ו</w:t>
      </w:r>
      <w:r w:rsidRPr="00C73665">
        <w:rPr>
          <w:rFonts w:hint="cs"/>
          <w:rtl/>
        </w:rPr>
        <w:t xml:space="preserve">אף </w:t>
      </w:r>
      <w:r w:rsidRPr="00F57232">
        <w:rPr>
          <w:rtl/>
        </w:rPr>
        <w:t>לזכות בהכרה כעובדי המדינה.</w:t>
      </w:r>
    </w:p>
    <w:p w14:paraId="13528084" w14:textId="77777777" w:rsidR="00FE3ACC" w:rsidRPr="00C73665" w:rsidRDefault="00FE3ACC" w:rsidP="000D73D7">
      <w:pPr>
        <w:pStyle w:val="Hesber"/>
        <w:spacing w:line="276" w:lineRule="auto"/>
        <w:rPr>
          <w:rtl/>
        </w:rPr>
      </w:pPr>
      <w:r w:rsidRPr="00C73665">
        <w:rPr>
          <w:rtl/>
        </w:rPr>
        <w:t xml:space="preserve">לאור כל זאת, </w:t>
      </w:r>
      <w:r w:rsidRPr="00C73665">
        <w:rPr>
          <w:rFonts w:hint="cs"/>
          <w:rtl/>
        </w:rPr>
        <w:t xml:space="preserve">מוצע לאסור </w:t>
      </w:r>
      <w:r w:rsidRPr="00C73665">
        <w:rPr>
          <w:rtl/>
        </w:rPr>
        <w:t xml:space="preserve">על גוף </w:t>
      </w:r>
      <w:r w:rsidRPr="00F57232">
        <w:rPr>
          <w:rtl/>
        </w:rPr>
        <w:t>ציבורי להתקשר בעסקה להעסקת עובדים עם נותן שירותים</w:t>
      </w:r>
      <w:r w:rsidRPr="00C73665">
        <w:rPr>
          <w:rtl/>
        </w:rPr>
        <w:t xml:space="preserve">, אם העובדים מועסקים אצל </w:t>
      </w:r>
      <w:r w:rsidRPr="00F57232">
        <w:rPr>
          <w:rtl/>
        </w:rPr>
        <w:t>הגוף הציבורי באופן קבוע</w:t>
      </w:r>
      <w:r w:rsidRPr="00F57232">
        <w:rPr>
          <w:rFonts w:hint="cs"/>
          <w:rtl/>
        </w:rPr>
        <w:t>,</w:t>
      </w:r>
      <w:r w:rsidRPr="00F57232">
        <w:rPr>
          <w:rtl/>
        </w:rPr>
        <w:t xml:space="preserve"> אלא אם כן העסקה דרושה לביצוע עבודה או שירות הדורשים ידע ומומחיות מיוחדים אשר העמדתם על ידי הגוף הציבורי עצמו היא בלתי סבירה בא</w:t>
      </w:r>
      <w:r w:rsidRPr="00C73665">
        <w:rPr>
          <w:rtl/>
        </w:rPr>
        <w:t>ופן קיצוני. בעת הכנת הצעת החוק לקריאה הראשונה ייקבעו הוראות מעבר לעניין התקשרויות קיימות.</w:t>
      </w:r>
    </w:p>
    <w:p w14:paraId="5F18F3DC" w14:textId="77777777" w:rsidR="00FE3ACC" w:rsidRPr="00F57232" w:rsidRDefault="00FE3ACC" w:rsidP="000D73D7">
      <w:pPr>
        <w:pStyle w:val="Hesber"/>
        <w:spacing w:line="276" w:lineRule="auto"/>
        <w:rPr>
          <w:rtl/>
        </w:rPr>
      </w:pPr>
      <w:r w:rsidRPr="00F57232">
        <w:rPr>
          <w:rtl/>
        </w:rPr>
        <w:t>הצעת החוק נכתבה בסיוע ד"ר אמיר פז-פוקס מהמרכז לצדק חברתי ודמוקרטיה על שם יעקב חזן במכון ון-ליר בירושלים, ועו"ד איתי סבירסקי, נציג "כוח לעובדים" בקואליציה להעסקה ישירה.</w:t>
      </w:r>
    </w:p>
    <w:p w14:paraId="5B5029B1" w14:textId="77777777" w:rsidR="00FE3ACC" w:rsidRDefault="00FE3ACC" w:rsidP="000D73D7">
      <w:pPr>
        <w:pStyle w:val="Hesber"/>
        <w:spacing w:line="276" w:lineRule="auto"/>
        <w:rPr>
          <w:rtl/>
        </w:rPr>
      </w:pPr>
      <w:r w:rsidRPr="00C73665">
        <w:rPr>
          <w:rtl/>
        </w:rPr>
        <w:t xml:space="preserve">הצעות חוק זהות הונחו על שולחן הכנסת השמונה-עשרה </w:t>
      </w:r>
      <w:r w:rsidRPr="00C73665">
        <w:rPr>
          <w:rFonts w:hint="cs"/>
          <w:rtl/>
        </w:rPr>
        <w:t xml:space="preserve">ועל שולחן הכנסת התשע-עשרה </w:t>
      </w:r>
      <w:r w:rsidRPr="00F57232">
        <w:rPr>
          <w:rtl/>
        </w:rPr>
        <w:t>על ידי חברת הכנסת זהבה גלאון וקבוצת חברי הכנסת (פ/4346/18</w:t>
      </w:r>
      <w:r w:rsidRPr="00F57232">
        <w:rPr>
          <w:rFonts w:hint="cs"/>
          <w:rtl/>
        </w:rPr>
        <w:t>; הוסרה מסדר היום ביום כ"ח בתמוז התשע"ב (18 ביולי 2012);</w:t>
      </w:r>
      <w:r w:rsidRPr="00F57232">
        <w:rPr>
          <w:rtl/>
        </w:rPr>
        <w:t xml:space="preserve"> פ/159/19; פ/1315/19; הוסרה מסדר היום ביום ג' באב התשע"ג (10 ביולי 2013); </w:t>
      </w:r>
      <w:bookmarkStart w:id="5" w:name="LawNum"/>
      <w:r w:rsidRPr="00F57232">
        <w:rPr>
          <w:rtl/>
        </w:rPr>
        <w:t>פ/2057/19</w:t>
      </w:r>
      <w:bookmarkEnd w:id="5"/>
      <w:r w:rsidRPr="00F57232">
        <w:rPr>
          <w:rFonts w:hint="cs"/>
          <w:rtl/>
        </w:rPr>
        <w:t>), על שולחן הכנסת העשרים על ידי חברת הכנסת זהבה גלאון וקבוצת חברי הכנסת (פ/66/20), על ידי חבר הכנסת מיקי רוזנטל (פ/69/20), על ידי חבר הכנסת דב חנין וקבוצת חברי הכנסת (3583/20)</w:t>
      </w:r>
      <w:r>
        <w:rPr>
          <w:rFonts w:hint="cs"/>
          <w:rtl/>
        </w:rPr>
        <w:t xml:space="preserve">, </w:t>
      </w:r>
      <w:r>
        <w:rPr>
          <w:rtl/>
        </w:rPr>
        <w:t xml:space="preserve">ועל ידי חבר הכנסת איציק שמולי (פ/4665/20), </w:t>
      </w:r>
      <w:r w:rsidRPr="00F57232">
        <w:rPr>
          <w:rtl/>
        </w:rPr>
        <w:t>על שולחן הכנסת העשרים ואחת על ידי חבר הכנסת איציק שמולי (פ/80/21)</w:t>
      </w:r>
      <w:r>
        <w:rPr>
          <w:rFonts w:hint="cs"/>
          <w:rtl/>
        </w:rPr>
        <w:t>, ועל ידי חבר הכנסת גילאון אילן וקבוצת חברי הכנסת (</w:t>
      </w:r>
      <w:r w:rsidRPr="00F57232">
        <w:rPr>
          <w:rtl/>
        </w:rPr>
        <w:t>פ/290/21</w:t>
      </w:r>
      <w:r>
        <w:rPr>
          <w:rFonts w:hint="cs"/>
          <w:rtl/>
        </w:rPr>
        <w:t xml:space="preserve">), </w:t>
      </w:r>
      <w:r>
        <w:rPr>
          <w:rtl/>
        </w:rPr>
        <w:t>על שולחן הכנסת העשרים ושתיים על ידי חבר הכנסת אילן גילאון וקבוצת חברי הכנסת (פ/327/22)</w:t>
      </w:r>
      <w:r>
        <w:rPr>
          <w:rFonts w:hint="cs"/>
          <w:rtl/>
        </w:rPr>
        <w:t xml:space="preserve">, </w:t>
      </w:r>
      <w:r>
        <w:rPr>
          <w:rtl/>
        </w:rPr>
        <w:t>ועל ידי חבר הכנסת איציק שמולי (פ/465/22)</w:t>
      </w:r>
      <w:r>
        <w:rPr>
          <w:rFonts w:hint="cs"/>
          <w:rtl/>
        </w:rPr>
        <w:t xml:space="preserve">, ועל שולחן הכנסת העשרים ושלוש על ידי חברת הכנסת תמר </w:t>
      </w:r>
      <w:r>
        <w:rPr>
          <w:rFonts w:hint="cs"/>
          <w:rtl/>
        </w:rPr>
        <w:lastRenderedPageBreak/>
        <w:t>זנדברג (</w:t>
      </w:r>
      <w:r w:rsidRPr="00F57232">
        <w:rPr>
          <w:rtl/>
        </w:rPr>
        <w:t>פ/1960/23</w:t>
      </w:r>
      <w:r>
        <w:rPr>
          <w:rFonts w:hint="cs"/>
          <w:rtl/>
        </w:rPr>
        <w:t>)</w:t>
      </w:r>
      <w:r w:rsidRPr="00C73665">
        <w:rPr>
          <w:rFonts w:hint="cs"/>
          <w:rtl/>
        </w:rPr>
        <w:t>.</w:t>
      </w:r>
    </w:p>
    <w:p w14:paraId="20F37C0E" w14:textId="77777777" w:rsidR="000D73D7" w:rsidRDefault="000D73D7" w:rsidP="000D73D7">
      <w:pPr>
        <w:pStyle w:val="Hesber"/>
        <w:spacing w:line="276" w:lineRule="auto"/>
        <w:rPr>
          <w:rtl/>
        </w:rPr>
      </w:pPr>
    </w:p>
    <w:p w14:paraId="37EAD9B0" w14:textId="77777777" w:rsidR="000D73D7" w:rsidRDefault="000D73D7" w:rsidP="000D73D7">
      <w:pPr>
        <w:pStyle w:val="Hesber"/>
        <w:spacing w:line="276" w:lineRule="auto"/>
        <w:rPr>
          <w:rtl/>
        </w:rPr>
      </w:pPr>
    </w:p>
    <w:p w14:paraId="47ADFC0B" w14:textId="77777777" w:rsidR="000D73D7" w:rsidRDefault="000D73D7" w:rsidP="000D73D7">
      <w:pPr>
        <w:pStyle w:val="Hesber"/>
        <w:spacing w:line="276" w:lineRule="auto"/>
        <w:rPr>
          <w:rtl/>
        </w:rPr>
      </w:pPr>
      <w:bookmarkStart w:id="6" w:name="_GoBack"/>
      <w:bookmarkEnd w:id="6"/>
    </w:p>
    <w:p w14:paraId="21F4C9A5" w14:textId="77777777" w:rsidR="000D73D7" w:rsidRPr="00D73212" w:rsidRDefault="000D73D7" w:rsidP="000D73D7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46E87291" w14:textId="77777777" w:rsidR="000D73D7" w:rsidRPr="00D73212" w:rsidRDefault="000D73D7" w:rsidP="000D73D7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5E800448" w14:textId="77777777" w:rsidR="000D73D7" w:rsidRPr="00D73212" w:rsidRDefault="000D73D7" w:rsidP="000D73D7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703135AA" w14:textId="77777777" w:rsidR="000D73D7" w:rsidRPr="00317312" w:rsidRDefault="000D73D7" w:rsidP="000D73D7">
      <w:pPr>
        <w:pStyle w:val="Hesber"/>
      </w:pPr>
      <w:r>
        <w:rPr>
          <w:rFonts w:hint="cs"/>
          <w:color w:val="auto"/>
          <w:rtl/>
          <w:lang w:eastAsia="en-US"/>
        </w:rPr>
        <w:t xml:space="preserve">כ"ח בכסלו התשפ"א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14.12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20  </w:t>
      </w:r>
    </w:p>
    <w:p w14:paraId="2AE4B019" w14:textId="77777777" w:rsidR="000D73D7" w:rsidRPr="00E73006" w:rsidRDefault="000D73D7" w:rsidP="000D73D7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0D73D7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D5C6549" w14:textId="77777777" w:rsidR="00FE3ACC" w:rsidRDefault="00FE3ACC" w:rsidP="00FE3ACC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התשל"ו, עמ' 280.</w:t>
      </w:r>
    </w:p>
  </w:footnote>
  <w:footnote w:id="3">
    <w:p w14:paraId="4CA67045" w14:textId="77777777" w:rsidR="00FE3ACC" w:rsidRDefault="00FE3ACC" w:rsidP="00FE3ACC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התשנ"ו, עמ' 201.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D73D7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81342"/>
    <w:rsid w:val="004A06DC"/>
    <w:rsid w:val="004B24ED"/>
    <w:rsid w:val="004B6625"/>
    <w:rsid w:val="004D2D82"/>
    <w:rsid w:val="004D3876"/>
    <w:rsid w:val="004E4552"/>
    <w:rsid w:val="004E6CDF"/>
    <w:rsid w:val="005447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C6F6D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73665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449F3"/>
    <w:rsid w:val="00F519F2"/>
    <w:rsid w:val="00F57232"/>
    <w:rsid w:val="00F628D6"/>
    <w:rsid w:val="00F67051"/>
    <w:rsid w:val="00F86A1E"/>
    <w:rsid w:val="00FA5E88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98FA542-0338-4170-A7C9-238F4697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uiPriority w:val="99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uiPriority w:val="99"/>
    <w:rsid w:val="00B975AD"/>
  </w:style>
  <w:style w:type="paragraph" w:customStyle="1" w:styleId="TableBlock">
    <w:name w:val="Table Block"/>
    <w:basedOn w:val="TableText"/>
    <w:uiPriority w:val="99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uiPriority w:val="99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uiPriority w:val="99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locked/>
    <w:rsid w:val="00481342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styleId="ae">
    <w:name w:val="annotation reference"/>
    <w:basedOn w:val="a0"/>
    <w:semiHidden/>
    <w:unhideWhenUsed/>
    <w:rsid w:val="00F57232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57232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F57232"/>
    <w:rPr>
      <w:rFonts w:ascii="Hadasa Roso SL" w:hAnsi="Hadasa Roso SL" w:cs="Hadasa Roso SL"/>
      <w:color w:val="000000"/>
      <w:spacing w:val="1"/>
      <w:lang w:eastAsia="ja-JP"/>
    </w:rPr>
  </w:style>
  <w:style w:type="paragraph" w:styleId="af1">
    <w:name w:val="annotation subject"/>
    <w:basedOn w:val="af"/>
    <w:next w:val="af"/>
    <w:link w:val="af2"/>
    <w:semiHidden/>
    <w:unhideWhenUsed/>
    <w:rsid w:val="00F57232"/>
    <w:rPr>
      <w:b/>
      <w:bCs/>
    </w:rPr>
  </w:style>
  <w:style w:type="character" w:customStyle="1" w:styleId="af2">
    <w:name w:val="נושא הערה תו"/>
    <w:basedOn w:val="af0"/>
    <w:link w:val="af1"/>
    <w:semiHidden/>
    <w:rsid w:val="00F57232"/>
    <w:rPr>
      <w:rFonts w:ascii="Hadasa Roso SL" w:hAnsi="Hadasa Roso SL" w:cs="Hadasa Roso SL"/>
      <w:b/>
      <w:bCs/>
      <w:color w:val="000000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8D67-47E8-4740-808B-8DDA52679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0DD99-65E4-4A6B-B76E-F0C1A092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10</cp:revision>
  <cp:lastPrinted>2013-07-04T08:25:00Z</cp:lastPrinted>
  <dcterms:created xsi:type="dcterms:W3CDTF">2015-04-20T09:58:00Z</dcterms:created>
  <dcterms:modified xsi:type="dcterms:W3CDTF">2020-12-10T07:56:00Z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2148658</vt:r8>
  </property>
</Properties>
</file>