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2149672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A" w14:textId="47C8B797" w:rsidR="00E13C27" w:rsidRPr="00CF1AA2" w:rsidRDefault="008F6665" w:rsidP="001B0695">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ג'בארין</w:t>
      </w:r>
      <w:r>
        <w:br/>
      </w:r>
      <w:r>
        <w:rPr>
          <w:rFonts w:hint="cs"/>
          <w:b/>
          <w:bCs/>
          <w:rtl/>
        </w:rPr>
        <w:t xml:space="preserve"> </w:t>
      </w:r>
      <w:r>
        <w:tab/>
      </w:r>
      <w:r>
        <w:tab/>
      </w:r>
      <w:r>
        <w:tab/>
      </w:r>
      <w:r>
        <w:tab/>
      </w:r>
      <w:r>
        <w:rPr>
          <w:rFonts w:hint="cs"/>
          <w:b/>
          <w:bCs/>
          <w:rtl/>
        </w:rPr>
        <w:t>ג'אבר עסאקלה</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4BFE2CA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1B0695">
        <w:rPr>
          <w:rFonts w:hint="cs"/>
          <w:rtl/>
        </w:rPr>
        <w:t>פ/2530/23</w:t>
      </w:r>
    </w:p>
    <w:p w14:paraId="7F6961AD" w14:textId="443E56E8" w:rsidR="00E13C27" w:rsidRPr="00F67051" w:rsidRDefault="00A443CF" w:rsidP="0021633A">
      <w:pPr>
        <w:pStyle w:val="HeadHatzaotHok"/>
        <w:rPr>
          <w:rtl/>
        </w:rPr>
      </w:pPr>
      <w:bookmarkStart w:id="6" w:name="LGS_Subject"/>
      <w:r>
        <w:rPr>
          <w:rFonts w:hint="cs"/>
          <w:rtl/>
        </w:rPr>
        <w:t>הצעת חוק לתיקון פקודת העיריות (הגבלת התקשרות בחוזה של נושאי משרה ועובדים בכירים), התשפ"א–2020</w:t>
      </w:r>
      <w:bookmarkEnd w:id="6"/>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8"/>
      </w:tblGrid>
      <w:tr w:rsidR="00703E6E" w14:paraId="1C44EFD1" w14:textId="77777777" w:rsidTr="00FF400B">
        <w:trPr>
          <w:cantSplit/>
        </w:trPr>
        <w:tc>
          <w:tcPr>
            <w:tcW w:w="1871" w:type="dxa"/>
            <w:hideMark/>
          </w:tcPr>
          <w:p w14:paraId="1EDF4293" w14:textId="77777777" w:rsidR="00703E6E" w:rsidRDefault="00703E6E" w:rsidP="00FF400B">
            <w:pPr>
              <w:pStyle w:val="TableSideHeading"/>
              <w:keepLines w:val="0"/>
              <w:rPr>
                <w:rtl/>
              </w:rPr>
            </w:pPr>
            <w:r>
              <w:rPr>
                <w:rtl/>
              </w:rPr>
              <w:t>תיקון סעיף 174</w:t>
            </w:r>
          </w:p>
        </w:tc>
        <w:tc>
          <w:tcPr>
            <w:tcW w:w="624" w:type="dxa"/>
            <w:hideMark/>
          </w:tcPr>
          <w:p w14:paraId="7609BF11" w14:textId="77777777" w:rsidR="00703E6E" w:rsidRDefault="00703E6E" w:rsidP="00FF400B">
            <w:pPr>
              <w:pStyle w:val="TableText"/>
              <w:keepLines w:val="0"/>
            </w:pPr>
            <w:r>
              <w:rPr>
                <w:rtl/>
              </w:rPr>
              <w:t>1.</w:t>
            </w:r>
          </w:p>
        </w:tc>
        <w:tc>
          <w:tcPr>
            <w:tcW w:w="7143" w:type="dxa"/>
            <w:hideMark/>
          </w:tcPr>
          <w:p w14:paraId="6EF3DBD2" w14:textId="77777777" w:rsidR="00703E6E" w:rsidRDefault="00703E6E" w:rsidP="00FF400B">
            <w:pPr>
              <w:pStyle w:val="TableHead"/>
              <w:jc w:val="both"/>
              <w:rPr>
                <w:b w:val="0"/>
                <w:bCs w:val="0"/>
              </w:rPr>
            </w:pPr>
            <w:r>
              <w:rPr>
                <w:b w:val="0"/>
                <w:bCs w:val="0"/>
                <w:rtl/>
              </w:rPr>
              <w:t>בפקודת העיריות</w:t>
            </w:r>
            <w:r>
              <w:rPr>
                <w:rStyle w:val="a6"/>
                <w:b w:val="0"/>
                <w:bCs w:val="0"/>
                <w:rtl/>
              </w:rPr>
              <w:footnoteReference w:id="2"/>
            </w:r>
            <w:r>
              <w:rPr>
                <w:b w:val="0"/>
                <w:bCs w:val="0"/>
                <w:rtl/>
              </w:rPr>
              <w:t>, בסעיף 174, אחרי סעיף קטן (ב) יבוא:</w:t>
            </w:r>
          </w:p>
        </w:tc>
      </w:tr>
      <w:tr w:rsidR="00703E6E" w14:paraId="4E35963D" w14:textId="77777777" w:rsidTr="00FF400B">
        <w:trPr>
          <w:cantSplit/>
        </w:trPr>
        <w:tc>
          <w:tcPr>
            <w:tcW w:w="1871" w:type="dxa"/>
          </w:tcPr>
          <w:p w14:paraId="1BB0E764" w14:textId="77777777" w:rsidR="00703E6E" w:rsidRDefault="00703E6E" w:rsidP="00FF400B">
            <w:pPr>
              <w:pStyle w:val="TableSideHeading"/>
              <w:rPr>
                <w:rtl/>
              </w:rPr>
            </w:pPr>
          </w:p>
        </w:tc>
        <w:tc>
          <w:tcPr>
            <w:tcW w:w="624" w:type="dxa"/>
          </w:tcPr>
          <w:p w14:paraId="6CA99F39" w14:textId="77777777" w:rsidR="00703E6E" w:rsidRDefault="00703E6E" w:rsidP="00FF400B">
            <w:pPr>
              <w:pStyle w:val="TableText"/>
            </w:pPr>
          </w:p>
        </w:tc>
        <w:tc>
          <w:tcPr>
            <w:tcW w:w="7143" w:type="dxa"/>
            <w:hideMark/>
          </w:tcPr>
          <w:p w14:paraId="424E3AE1" w14:textId="77777777" w:rsidR="00703E6E" w:rsidRDefault="00703E6E" w:rsidP="00FF400B">
            <w:pPr>
              <w:pStyle w:val="TableBlock"/>
            </w:pPr>
            <w:r>
              <w:rPr>
                <w:rtl/>
              </w:rPr>
              <w:t>"(ג)</w:t>
            </w:r>
            <w:r>
              <w:rPr>
                <w:rtl/>
              </w:rPr>
              <w:tab/>
              <w:t xml:space="preserve">נושא משרה או עובד בכיר בעירייה המנוי בתוספת החמישית,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סעיף זה, "קרוב משפחה" –  כהגדרתו בסעיף 174א." </w:t>
            </w:r>
          </w:p>
        </w:tc>
      </w:tr>
      <w:tr w:rsidR="00703E6E" w14:paraId="0F9C86B8" w14:textId="77777777" w:rsidTr="00FF400B">
        <w:trPr>
          <w:cantSplit/>
        </w:trPr>
        <w:tc>
          <w:tcPr>
            <w:tcW w:w="1871" w:type="dxa"/>
            <w:hideMark/>
          </w:tcPr>
          <w:p w14:paraId="78D18D74" w14:textId="77777777" w:rsidR="00703E6E" w:rsidRDefault="00703E6E" w:rsidP="00FF400B">
            <w:pPr>
              <w:pStyle w:val="TableSideHeading"/>
              <w:rPr>
                <w:rtl/>
              </w:rPr>
            </w:pPr>
            <w:r>
              <w:rPr>
                <w:rtl/>
              </w:rPr>
              <w:t>תיקון פקודת המועצות המקומיות</w:t>
            </w:r>
          </w:p>
        </w:tc>
        <w:tc>
          <w:tcPr>
            <w:tcW w:w="624" w:type="dxa"/>
            <w:hideMark/>
          </w:tcPr>
          <w:p w14:paraId="1A2C9F8B" w14:textId="77777777" w:rsidR="00703E6E" w:rsidRDefault="00703E6E" w:rsidP="00FF400B">
            <w:pPr>
              <w:pStyle w:val="TableText"/>
            </w:pPr>
            <w:r>
              <w:rPr>
                <w:rtl/>
              </w:rPr>
              <w:t>2.</w:t>
            </w:r>
          </w:p>
        </w:tc>
        <w:tc>
          <w:tcPr>
            <w:tcW w:w="7143" w:type="dxa"/>
            <w:hideMark/>
          </w:tcPr>
          <w:p w14:paraId="3CF14979" w14:textId="77777777" w:rsidR="00703E6E" w:rsidRDefault="00703E6E" w:rsidP="00FF400B">
            <w:pPr>
              <w:pStyle w:val="TableBlock"/>
            </w:pPr>
            <w:r>
              <w:rPr>
                <w:rtl/>
              </w:rPr>
              <w:t>בפקודת המועצות המקומיות [נוסח חדש]</w:t>
            </w:r>
            <w:r>
              <w:rPr>
                <w:rStyle w:val="a6"/>
                <w:rtl/>
              </w:rPr>
              <w:footnoteReference w:id="3"/>
            </w:r>
            <w:r>
              <w:rPr>
                <w:rtl/>
              </w:rPr>
              <w:t>, בסעיף 34א(א), אחרי "173ב," יבוא "174,".</w:t>
            </w:r>
          </w:p>
        </w:tc>
      </w:tr>
    </w:tbl>
    <w:p w14:paraId="7F6961CA" w14:textId="77777777" w:rsidR="002D1EE3" w:rsidRDefault="002D1EE3" w:rsidP="002D1EE3">
      <w:pPr>
        <w:pStyle w:val="HeadDivreiHesber"/>
        <w:rPr>
          <w:rtl/>
        </w:rPr>
      </w:pPr>
      <w:r w:rsidRPr="0027450A">
        <w:rPr>
          <w:rFonts w:hint="cs"/>
          <w:rtl/>
        </w:rPr>
        <w:t>דברי הסבר</w:t>
      </w:r>
    </w:p>
    <w:p w14:paraId="1A44F2A8" w14:textId="77777777" w:rsidR="00703E6E" w:rsidRPr="00E93ECF" w:rsidRDefault="00703E6E" w:rsidP="00F32EF9">
      <w:pPr>
        <w:pStyle w:val="Hesber"/>
        <w:rPr>
          <w:rtl/>
        </w:rPr>
      </w:pPr>
      <w:r w:rsidRPr="00E93ECF">
        <w:rPr>
          <w:rtl/>
        </w:rPr>
        <w:t>מטרת הצעת החוק היא להרחיב את הגדרת האנשים שאסור לנהל איתם שום קשר עסקי או מסחרי בגלל תפקידיהם ומעמדם ברשויות המקומיות, ולכלול את שותפיהם סוכניהם וקרובי משפחתם מהדרגה הראשונה תחת איסור מוחלט של כל פעולה עסקית או מסחרית המתבצעת במישרין או בעקיפין מול מוסדות הרשות המקומית.</w:t>
      </w:r>
    </w:p>
    <w:p w14:paraId="2C02CDFF" w14:textId="6AA58BDA" w:rsidR="00703E6E" w:rsidRPr="00E93ECF" w:rsidRDefault="00703E6E" w:rsidP="00F32EF9">
      <w:pPr>
        <w:pStyle w:val="Hesber"/>
        <w:rPr>
          <w:rtl/>
        </w:rPr>
      </w:pPr>
      <w:r w:rsidRPr="00E93ECF">
        <w:rPr>
          <w:rtl/>
        </w:rPr>
        <w:t>הצעת החוק באה למנוע אפשרות שפקידים בכירים ברשויות יהיו נתונים בעניינים אישיים ובניגוד עניינים. כמו כן שלא יעדיף הפקיד את ענייניו האישיים או של אדם מטעמו על פני מילוי תפקידו בצורה הטובה והנאמנה ביותר, ועל פני חובתו לדאוג אך ורק לעניינו של הציבור אותו הוא אמור לשרת בנאמנות.</w:t>
      </w:r>
    </w:p>
    <w:p w14:paraId="02A56C2F" w14:textId="01B0FD42" w:rsidR="00703E6E" w:rsidRPr="00E93ECF" w:rsidRDefault="00703E6E" w:rsidP="00F32EF9">
      <w:pPr>
        <w:pStyle w:val="Hesber"/>
        <w:rPr>
          <w:rtl/>
        </w:rPr>
      </w:pPr>
      <w:r w:rsidRPr="00E93ECF">
        <w:rPr>
          <w:rtl/>
        </w:rPr>
        <w:t>לפיכך, הצעת החוק באה להגביל את הפקידים שלא ינצלו את מעמדם לרעה כד</w:t>
      </w:r>
      <w:r w:rsidR="002350C9">
        <w:rPr>
          <w:rFonts w:hint="cs"/>
          <w:rtl/>
        </w:rPr>
        <w:t>י</w:t>
      </w:r>
      <w:r w:rsidRPr="00E93ECF">
        <w:rPr>
          <w:rtl/>
        </w:rPr>
        <w:t xml:space="preserve"> לקדם אינטרסים </w:t>
      </w:r>
      <w:r w:rsidRPr="00E93ECF">
        <w:rPr>
          <w:rtl/>
        </w:rPr>
        <w:lastRenderedPageBreak/>
        <w:t>אישיים על חשבון הציבור.</w:t>
      </w:r>
    </w:p>
    <w:p w14:paraId="34CFD2B5" w14:textId="010565E6" w:rsidR="00703E6E" w:rsidRDefault="00703E6E" w:rsidP="00F32EF9">
      <w:pPr>
        <w:pStyle w:val="Hesber"/>
        <w:rPr>
          <w:rtl/>
        </w:rPr>
      </w:pPr>
      <w:r w:rsidRPr="00F32EF9">
        <w:rPr>
          <w:rtl/>
        </w:rPr>
        <w:t>הצעת חוק זהה הונחה על שולחן הכנסת התשע-עשרה על ידי חבר הכנסת חנא סוייד וקבוצת חברי הכנסת (פ/2561/19)</w:t>
      </w:r>
      <w:r w:rsidR="008B2415" w:rsidRPr="00F32EF9">
        <w:rPr>
          <w:rtl/>
        </w:rPr>
        <w:t xml:space="preserve"> ועל</w:t>
      </w:r>
      <w:r w:rsidRPr="00F32EF9">
        <w:rPr>
          <w:rtl/>
        </w:rPr>
        <w:t xml:space="preserve"> שולחן הכנסת העשרים על ידי חבר הכנסת איימן עודה וקבוצת חברי הכנסת (פ/961/20).</w:t>
      </w:r>
    </w:p>
    <w:p w14:paraId="16917526" w14:textId="77777777" w:rsidR="001B0695" w:rsidRPr="00F32EF9" w:rsidRDefault="001B0695" w:rsidP="00F32EF9">
      <w:pPr>
        <w:pStyle w:val="Hesber"/>
        <w:rPr>
          <w:rtl/>
        </w:rPr>
      </w:pPr>
      <w:bookmarkStart w:id="7" w:name="_GoBack"/>
      <w:bookmarkEnd w:id="7"/>
    </w:p>
    <w:p w14:paraId="7103F275" w14:textId="77777777" w:rsidR="001B0695" w:rsidRPr="00D73212" w:rsidRDefault="001B0695" w:rsidP="001B0695">
      <w:pPr>
        <w:pStyle w:val="Hesber"/>
        <w:rPr>
          <w:color w:val="auto"/>
          <w:rtl/>
          <w:lang w:eastAsia="en-US"/>
        </w:rPr>
      </w:pPr>
      <w:r w:rsidRPr="00D73212">
        <w:rPr>
          <w:color w:val="auto"/>
          <w:rtl/>
          <w:lang w:eastAsia="en-US"/>
        </w:rPr>
        <w:t>---------------------------------</w:t>
      </w:r>
    </w:p>
    <w:p w14:paraId="3F797302" w14:textId="77777777" w:rsidR="001B0695" w:rsidRPr="00D73212" w:rsidRDefault="001B0695" w:rsidP="001B0695">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13DDAFC" w14:textId="77777777" w:rsidR="001B0695" w:rsidRPr="00D73212" w:rsidRDefault="001B0695" w:rsidP="001B0695">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2D06C56C" w14:textId="77777777" w:rsidR="001B0695" w:rsidRPr="00317312" w:rsidRDefault="001B0695" w:rsidP="001B0695">
      <w:pPr>
        <w:pStyle w:val="Hesber"/>
      </w:pPr>
      <w:r>
        <w:rPr>
          <w:rFonts w:hint="cs"/>
          <w:color w:val="auto"/>
          <w:rtl/>
          <w:lang w:eastAsia="en-US"/>
        </w:rPr>
        <w:t xml:space="preserve">כ"ח בכסלו התשפ"א </w:t>
      </w:r>
      <w:r w:rsidRPr="00D73212">
        <w:rPr>
          <w:color w:val="auto"/>
          <w:rtl/>
          <w:lang w:eastAsia="en-US"/>
        </w:rPr>
        <w:t>–</w:t>
      </w:r>
      <w:r>
        <w:rPr>
          <w:rFonts w:hint="cs"/>
          <w:color w:val="auto"/>
          <w:rtl/>
          <w:lang w:eastAsia="en-US"/>
        </w:rPr>
        <w:t xml:space="preserve"> 14.12</w:t>
      </w:r>
      <w:r w:rsidRPr="00D73212">
        <w:rPr>
          <w:color w:val="auto"/>
          <w:rtl/>
          <w:lang w:eastAsia="en-US"/>
        </w:rPr>
        <w:t>.</w:t>
      </w:r>
      <w:r>
        <w:rPr>
          <w:rFonts w:hint="cs"/>
          <w:color w:val="auto"/>
          <w:rtl/>
          <w:lang w:eastAsia="en-US"/>
        </w:rPr>
        <w:t xml:space="preserve">20  </w:t>
      </w:r>
    </w:p>
    <w:p w14:paraId="77D08BD5" w14:textId="77777777" w:rsidR="001B0695" w:rsidRPr="00E73006" w:rsidRDefault="001B0695" w:rsidP="001B0695">
      <w:pPr>
        <w:spacing w:before="0" w:line="360" w:lineRule="auto"/>
        <w:ind w:left="340" w:firstLine="0"/>
        <w:rPr>
          <w:rFonts w:ascii="Arial" w:eastAsia="Arial Unicode MS" w:hAnsi="Arial" w:cs="David"/>
          <w:snapToGrid w:val="0"/>
          <w:spacing w:val="0"/>
          <w:sz w:val="20"/>
          <w:szCs w:val="26"/>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B069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2E8F992" w14:textId="77777777" w:rsidR="00703E6E" w:rsidRDefault="00703E6E" w:rsidP="00703E6E">
      <w:pPr>
        <w:pStyle w:val="a4"/>
        <w:rPr>
          <w:rtl/>
        </w:rPr>
      </w:pPr>
      <w:r>
        <w:rPr>
          <w:rStyle w:val="a6"/>
        </w:rPr>
        <w:footnoteRef/>
      </w:r>
      <w:r>
        <w:rPr>
          <w:rtl/>
        </w:rPr>
        <w:t xml:space="preserve"> דיני מדינת ישראל, נוסח חדש 8, עמ' 197.</w:t>
      </w:r>
    </w:p>
  </w:footnote>
  <w:footnote w:id="3">
    <w:p w14:paraId="3EBAF669" w14:textId="77777777" w:rsidR="00703E6E" w:rsidRDefault="00703E6E" w:rsidP="00703E6E">
      <w:pPr>
        <w:pStyle w:val="a4"/>
      </w:pPr>
      <w:r>
        <w:rPr>
          <w:rStyle w:val="a6"/>
        </w:rPr>
        <w:footnoteRef/>
      </w:r>
      <w:r>
        <w:rPr>
          <w:rtl/>
        </w:rPr>
        <w:t xml:space="preserve"> דיני מדינת ישראל, נוסח חדש 9, עמ' 256.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0695"/>
    <w:rsid w:val="001C23B0"/>
    <w:rsid w:val="001D7AAF"/>
    <w:rsid w:val="00203A7F"/>
    <w:rsid w:val="0021633A"/>
    <w:rsid w:val="002200A1"/>
    <w:rsid w:val="002350C9"/>
    <w:rsid w:val="002362BF"/>
    <w:rsid w:val="00241B97"/>
    <w:rsid w:val="002425D1"/>
    <w:rsid w:val="00246756"/>
    <w:rsid w:val="00251E58"/>
    <w:rsid w:val="00254605"/>
    <w:rsid w:val="00266D86"/>
    <w:rsid w:val="002728B4"/>
    <w:rsid w:val="0027600C"/>
    <w:rsid w:val="00292712"/>
    <w:rsid w:val="002A487D"/>
    <w:rsid w:val="002C2E29"/>
    <w:rsid w:val="002C3041"/>
    <w:rsid w:val="002D1E44"/>
    <w:rsid w:val="002D1EE3"/>
    <w:rsid w:val="002F1D80"/>
    <w:rsid w:val="002F1FEC"/>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3E6E"/>
    <w:rsid w:val="0070601E"/>
    <w:rsid w:val="00712C72"/>
    <w:rsid w:val="00735FE9"/>
    <w:rsid w:val="00763CAA"/>
    <w:rsid w:val="00765F66"/>
    <w:rsid w:val="0078664F"/>
    <w:rsid w:val="007A27CE"/>
    <w:rsid w:val="007C3FA6"/>
    <w:rsid w:val="007D585A"/>
    <w:rsid w:val="007D5A12"/>
    <w:rsid w:val="007E59F9"/>
    <w:rsid w:val="00810BCD"/>
    <w:rsid w:val="0081177E"/>
    <w:rsid w:val="00812C98"/>
    <w:rsid w:val="00814D92"/>
    <w:rsid w:val="0083181D"/>
    <w:rsid w:val="00843EB2"/>
    <w:rsid w:val="00865572"/>
    <w:rsid w:val="00874BBC"/>
    <w:rsid w:val="00892135"/>
    <w:rsid w:val="00895449"/>
    <w:rsid w:val="00897879"/>
    <w:rsid w:val="008A6870"/>
    <w:rsid w:val="008B2415"/>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4D5D"/>
    <w:rsid w:val="00E374F2"/>
    <w:rsid w:val="00E45103"/>
    <w:rsid w:val="00E55A60"/>
    <w:rsid w:val="00E62778"/>
    <w:rsid w:val="00E62E4D"/>
    <w:rsid w:val="00E635A2"/>
    <w:rsid w:val="00E63D38"/>
    <w:rsid w:val="00E665B9"/>
    <w:rsid w:val="00E93ECF"/>
    <w:rsid w:val="00EA01E6"/>
    <w:rsid w:val="00EA3DE8"/>
    <w:rsid w:val="00EA758F"/>
    <w:rsid w:val="00ED4A6F"/>
    <w:rsid w:val="00EF3A3A"/>
    <w:rsid w:val="00F32EF9"/>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366476A-3018-4028-952E-EA284A78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703E6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2.xml><?xml version="1.0" encoding="utf-8"?>
<ds:datastoreItem xmlns:ds="http://schemas.openxmlformats.org/officeDocument/2006/customXml" ds:itemID="{0FA40ABE-FE22-47FF-A562-04DD992D5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C545757-9CA5-452E-AAFA-F017CC52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259</Words>
  <Characters>1479</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14</cp:revision>
  <cp:lastPrinted>2020-12-10T08:34:00Z</cp:lastPrinted>
  <dcterms:created xsi:type="dcterms:W3CDTF">2015-04-20T09:58:00Z</dcterms:created>
  <dcterms:modified xsi:type="dcterms:W3CDTF">2020-12-10T08:34:00Z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2149672</vt:r8>
  </property>
</Properties>
</file>