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2148683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 xml:space="preserve">ג'אבר </w:t>
      </w:r>
      <w:proofErr w:type="spellStart"/>
      <w:r>
        <w:rPr>
          <w:rFonts w:hint="cs"/>
          <w:b/>
          <w:bCs/>
          <w:rtl/>
        </w:rPr>
        <w:t>עסאקלה</w:t>
      </w:r>
      <w:proofErr w:type="spellEnd"/>
      <w:r>
        <w:br/>
      </w:r>
      <w:r>
        <w:rPr>
          <w:rFonts w:hint="cs"/>
          <w:b/>
          <w:bCs/>
          <w:rtl/>
        </w:rPr>
        <w:t xml:space="preserve"> </w:t>
      </w:r>
      <w:r>
        <w:tab/>
      </w:r>
      <w:r>
        <w:tab/>
      </w:r>
      <w:r>
        <w:tab/>
      </w:r>
      <w:r>
        <w:tab/>
      </w:r>
      <w:proofErr w:type="spellStart"/>
      <w:r>
        <w:rPr>
          <w:rFonts w:hint="cs"/>
          <w:b/>
          <w:bCs/>
          <w:rtl/>
        </w:rPr>
        <w:t>איימן</w:t>
      </w:r>
      <w:proofErr w:type="spellEnd"/>
      <w:r>
        <w:rPr>
          <w:rFonts w:hint="cs"/>
          <w:b/>
          <w:bCs/>
          <w:rtl/>
        </w:rPr>
        <w:t xml:space="preserve"> עודה</w:t>
      </w:r>
      <w:r>
        <w:br/>
      </w:r>
      <w:r>
        <w:rPr>
          <w:rFonts w:hint="cs"/>
          <w:b/>
          <w:bCs/>
          <w:rtl/>
        </w:rPr>
        <w:t xml:space="preserve"> </w:t>
      </w:r>
      <w:r>
        <w:tab/>
      </w:r>
      <w:r>
        <w:tab/>
      </w:r>
      <w:r>
        <w:tab/>
      </w:r>
      <w:r>
        <w:tab/>
      </w:r>
      <w:proofErr w:type="spellStart"/>
      <w:r>
        <w:rPr>
          <w:rFonts w:hint="cs"/>
          <w:b/>
          <w:bCs/>
          <w:rtl/>
        </w:rPr>
        <w:t>עאידה</w:t>
      </w:r>
      <w:proofErr w:type="spellEnd"/>
      <w:r>
        <w:rPr>
          <w:rFonts w:hint="cs"/>
          <w:b/>
          <w:bCs/>
          <w:rtl/>
        </w:rPr>
        <w:t xml:space="preserve"> </w:t>
      </w:r>
      <w:proofErr w:type="spellStart"/>
      <w:r>
        <w:rPr>
          <w:rFonts w:hint="cs"/>
          <w:b/>
          <w:bCs/>
          <w:rtl/>
        </w:rPr>
        <w:t>תומא</w:t>
      </w:r>
      <w:proofErr w:type="spellEnd"/>
      <w:r>
        <w:rPr>
          <w:rFonts w:hint="cs"/>
          <w:b/>
          <w:bCs/>
          <w:rtl/>
        </w:rPr>
        <w:t xml:space="preserve"> </w:t>
      </w:r>
      <w:proofErr w:type="spellStart"/>
      <w:r>
        <w:rPr>
          <w:rFonts w:hint="cs"/>
          <w:b/>
          <w:bCs/>
          <w:rtl/>
        </w:rPr>
        <w:t>סלימאן</w:t>
      </w:r>
      <w:proofErr w:type="spellEnd"/>
      <w:r>
        <w:br/>
      </w:r>
      <w:r>
        <w:rPr>
          <w:rFonts w:hint="cs"/>
          <w:b/>
          <w:bCs/>
          <w:rtl/>
        </w:rPr>
        <w:t xml:space="preserve"> </w:t>
      </w:r>
      <w:r>
        <w:tab/>
      </w:r>
      <w:r>
        <w:tab/>
      </w:r>
      <w:r>
        <w:tab/>
      </w:r>
      <w:r>
        <w:tab/>
      </w:r>
      <w:r>
        <w:rPr>
          <w:rFonts w:hint="cs"/>
          <w:b/>
          <w:bCs/>
          <w:rtl/>
        </w:rPr>
        <w:t>עופר כסיף</w:t>
      </w:r>
      <w:r>
        <w:br/>
      </w:r>
      <w:r>
        <w:rPr>
          <w:rFonts w:hint="cs"/>
          <w:b/>
          <w:bCs/>
          <w:rtl/>
        </w:rPr>
        <w:t xml:space="preserve"> </w:t>
      </w:r>
      <w:r>
        <w:tab/>
      </w:r>
      <w:r>
        <w:tab/>
      </w:r>
      <w:r>
        <w:tab/>
      </w:r>
      <w:r>
        <w:tab/>
      </w:r>
      <w:r>
        <w:rPr>
          <w:rFonts w:hint="cs"/>
          <w:b/>
          <w:bCs/>
          <w:rtl/>
        </w:rPr>
        <w:t xml:space="preserve">יוסף </w:t>
      </w:r>
      <w:proofErr w:type="spellStart"/>
      <w:r>
        <w:rPr>
          <w:rFonts w:hint="cs"/>
          <w:b/>
          <w:bCs/>
          <w:rtl/>
        </w:rPr>
        <w:t>ג'בארין</w:t>
      </w:r>
      <w:bookmarkEnd w:id="3"/>
      <w:proofErr w:type="spellEnd"/>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62A8C6E1" w:rsidR="00E13C27" w:rsidRPr="00E06736" w:rsidRDefault="00904591" w:rsidP="00AA5BA1">
      <w:pPr>
        <w:pStyle w:val="David"/>
        <w:spacing w:line="240" w:lineRule="auto"/>
        <w:ind w:left="3544"/>
        <w:rPr>
          <w:rtl/>
        </w:rPr>
      </w:pPr>
      <w:r>
        <w:t xml:space="preserve"> </w:t>
      </w:r>
      <w:bookmarkStart w:id="4" w:name="Private_Number"/>
      <w:r w:rsidR="00AA5BA1">
        <w:rPr>
          <w:rtl/>
        </w:rPr>
        <w:tab/>
      </w:r>
      <w:r w:rsidR="00AA5BA1">
        <w:rPr>
          <w:rtl/>
        </w:rPr>
        <w:tab/>
      </w:r>
      <w:r w:rsidR="00AA5BA1">
        <w:rPr>
          <w:rtl/>
        </w:rPr>
        <w:tab/>
      </w:r>
      <w:r w:rsidR="00AA5BA1">
        <w:rPr>
          <w:rtl/>
        </w:rPr>
        <w:tab/>
      </w:r>
      <w:r>
        <w:rPr>
          <w:rFonts w:hint="cs"/>
          <w:rtl/>
        </w:rPr>
        <w:t>פ/2497/23</w:t>
      </w:r>
      <w:bookmarkEnd w:id="4"/>
    </w:p>
    <w:p w14:paraId="7F6961AD" w14:textId="7AA83CCF" w:rsidR="00E13C27" w:rsidRPr="00F67051" w:rsidRDefault="00A443CF" w:rsidP="007C2B35">
      <w:pPr>
        <w:pStyle w:val="HeadHatzaotHok"/>
        <w:rPr>
          <w:rtl/>
        </w:rPr>
      </w:pPr>
      <w:bookmarkStart w:id="5" w:name="LGS_Subject"/>
      <w:r>
        <w:rPr>
          <w:rFonts w:hint="cs"/>
          <w:rtl/>
        </w:rPr>
        <w:t xml:space="preserve">הצעת חוק הביטוח הלאומי (תיקון – בדיקת תלות בידי רופא מומחה למבוטח מגיל 75), </w:t>
      </w:r>
      <w:r w:rsidR="00AA5BA1">
        <w:rPr>
          <w:rtl/>
        </w:rPr>
        <w:br/>
      </w:r>
      <w:proofErr w:type="spellStart"/>
      <w:r>
        <w:rPr>
          <w:rFonts w:hint="cs"/>
          <w:rtl/>
        </w:rPr>
        <w:t>התשפ"א</w:t>
      </w:r>
      <w:proofErr w:type="spellEnd"/>
      <w:r w:rsidR="007C2B35">
        <w:rPr>
          <w:rFonts w:hint="cs"/>
          <w:rtl/>
        </w:rPr>
        <w:t>–</w:t>
      </w:r>
      <w:r>
        <w:rPr>
          <w:rFonts w:hint="cs"/>
          <w:rtl/>
        </w:rPr>
        <w:t>2020</w:t>
      </w:r>
      <w:bookmarkEnd w:id="5"/>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941116" w:rsidRPr="00345C89" w14:paraId="433D7603" w14:textId="77777777" w:rsidTr="00AA5BA1">
        <w:trPr>
          <w:cantSplit/>
        </w:trPr>
        <w:tc>
          <w:tcPr>
            <w:tcW w:w="1871" w:type="dxa"/>
          </w:tcPr>
          <w:p w14:paraId="2B83674E" w14:textId="77777777" w:rsidR="00941116" w:rsidRDefault="00941116" w:rsidP="00266E7D">
            <w:pPr>
              <w:pStyle w:val="TableSideHeading"/>
              <w:keepLines w:val="0"/>
            </w:pPr>
            <w:r>
              <w:rPr>
                <w:rtl/>
              </w:rPr>
              <w:t>תיקון סעיף 224</w:t>
            </w:r>
          </w:p>
        </w:tc>
        <w:tc>
          <w:tcPr>
            <w:tcW w:w="624" w:type="dxa"/>
          </w:tcPr>
          <w:p w14:paraId="6B1EEE81" w14:textId="77777777" w:rsidR="00941116" w:rsidRDefault="00941116" w:rsidP="00266E7D">
            <w:pPr>
              <w:pStyle w:val="TableText"/>
              <w:keepLines w:val="0"/>
            </w:pPr>
            <w:r>
              <w:rPr>
                <w:rtl/>
              </w:rPr>
              <w:t>1.</w:t>
            </w:r>
          </w:p>
        </w:tc>
        <w:tc>
          <w:tcPr>
            <w:tcW w:w="7143" w:type="dxa"/>
          </w:tcPr>
          <w:p w14:paraId="1CB0BC88" w14:textId="77777777" w:rsidR="00941116" w:rsidRPr="00345C89" w:rsidRDefault="00941116" w:rsidP="00AA5BA1">
            <w:pPr>
              <w:pStyle w:val="TableBlock"/>
            </w:pPr>
            <w:r w:rsidRPr="00345C89">
              <w:rPr>
                <w:rtl/>
              </w:rPr>
              <w:t xml:space="preserve">בחוק הביטוח הלאומי [נוסח משולב], </w:t>
            </w:r>
            <w:proofErr w:type="spellStart"/>
            <w:r w:rsidRPr="00345C89">
              <w:rPr>
                <w:rtl/>
              </w:rPr>
              <w:t>התשנ"ה</w:t>
            </w:r>
            <w:proofErr w:type="spellEnd"/>
            <w:r w:rsidRPr="00345C89">
              <w:rPr>
                <w:rtl/>
              </w:rPr>
              <w:t>–1995</w:t>
            </w:r>
            <w:r w:rsidRPr="00AA5BA1">
              <w:rPr>
                <w:rStyle w:val="a6"/>
                <w:rFonts w:ascii="David" w:hAnsi="David"/>
                <w:sz w:val="26"/>
                <w:rtl/>
              </w:rPr>
              <w:footnoteReference w:id="2"/>
            </w:r>
            <w:r w:rsidRPr="00345C89">
              <w:rPr>
                <w:rtl/>
              </w:rPr>
              <w:t xml:space="preserve"> (להלן – החוק העיקרי), בסעיף 224(ג)(2), במקום "90 שנים" יבוא "</w:t>
            </w:r>
            <w:r w:rsidRPr="00345C89">
              <w:rPr>
                <w:rFonts w:hint="cs"/>
                <w:rtl/>
              </w:rPr>
              <w:t>75</w:t>
            </w:r>
            <w:r w:rsidRPr="00345C89">
              <w:rPr>
                <w:rtl/>
              </w:rPr>
              <w:t xml:space="preserve"> שנים".</w:t>
            </w:r>
          </w:p>
        </w:tc>
      </w:tr>
      <w:tr w:rsidR="00941116" w14:paraId="41D89343" w14:textId="77777777" w:rsidTr="00AA5BA1">
        <w:trPr>
          <w:cantSplit/>
        </w:trPr>
        <w:tc>
          <w:tcPr>
            <w:tcW w:w="1871" w:type="dxa"/>
          </w:tcPr>
          <w:p w14:paraId="27E52B4E" w14:textId="77777777" w:rsidR="00941116" w:rsidRPr="00035BE2" w:rsidRDefault="00941116" w:rsidP="00266E7D">
            <w:pPr>
              <w:pStyle w:val="TableSideHeading"/>
              <w:keepLines w:val="0"/>
              <w:rPr>
                <w:rtl/>
              </w:rPr>
            </w:pPr>
            <w:r>
              <w:rPr>
                <w:rtl/>
              </w:rPr>
              <w:t>ביטול סעיף 224א</w:t>
            </w:r>
          </w:p>
        </w:tc>
        <w:tc>
          <w:tcPr>
            <w:tcW w:w="624" w:type="dxa"/>
          </w:tcPr>
          <w:p w14:paraId="1DBB1D7D" w14:textId="77777777" w:rsidR="00941116" w:rsidRDefault="00941116" w:rsidP="00266E7D">
            <w:pPr>
              <w:pStyle w:val="TableText"/>
              <w:keepLines w:val="0"/>
              <w:rPr>
                <w:rtl/>
              </w:rPr>
            </w:pPr>
            <w:r>
              <w:rPr>
                <w:rtl/>
              </w:rPr>
              <w:t>2.</w:t>
            </w:r>
          </w:p>
        </w:tc>
        <w:tc>
          <w:tcPr>
            <w:tcW w:w="7143" w:type="dxa"/>
          </w:tcPr>
          <w:p w14:paraId="2E670932" w14:textId="77777777" w:rsidR="00941116" w:rsidRDefault="00941116" w:rsidP="00AA5BA1">
            <w:pPr>
              <w:pStyle w:val="TableBlock"/>
              <w:rPr>
                <w:rtl/>
              </w:rPr>
            </w:pPr>
            <w:r>
              <w:rPr>
                <w:rtl/>
              </w:rPr>
              <w:t>סעיף 224א לחוק העיקרי – בטל.</w:t>
            </w:r>
          </w:p>
        </w:tc>
      </w:tr>
    </w:tbl>
    <w:p w14:paraId="7F6961CA" w14:textId="77777777" w:rsidR="002D1EE3" w:rsidRDefault="002D1EE3" w:rsidP="002D1EE3">
      <w:pPr>
        <w:pStyle w:val="HeadDivreiHesber"/>
        <w:rPr>
          <w:rtl/>
        </w:rPr>
      </w:pPr>
      <w:r w:rsidRPr="0027450A">
        <w:rPr>
          <w:rFonts w:hint="cs"/>
          <w:rtl/>
        </w:rPr>
        <w:t>דברי הסבר</w:t>
      </w:r>
    </w:p>
    <w:p w14:paraId="16EBE230" w14:textId="083CB252" w:rsidR="00941116" w:rsidRPr="00752441" w:rsidRDefault="00941116" w:rsidP="00AA5BA1">
      <w:pPr>
        <w:pStyle w:val="Hesber"/>
        <w:spacing w:line="240" w:lineRule="auto"/>
        <w:rPr>
          <w:rtl/>
        </w:rPr>
      </w:pPr>
      <w:r w:rsidRPr="00752441">
        <w:rPr>
          <w:rtl/>
        </w:rPr>
        <w:t xml:space="preserve">חוק הביטוח הלאומי [נוסח משולב], </w:t>
      </w:r>
      <w:proofErr w:type="spellStart"/>
      <w:r w:rsidRPr="00752441">
        <w:rPr>
          <w:rtl/>
        </w:rPr>
        <w:t>התשנ"ה</w:t>
      </w:r>
      <w:proofErr w:type="spellEnd"/>
      <w:r w:rsidRPr="00752441">
        <w:rPr>
          <w:rtl/>
        </w:rPr>
        <w:t>–1995</w:t>
      </w:r>
      <w:r w:rsidR="007C2B35">
        <w:rPr>
          <w:rFonts w:hint="cs"/>
          <w:rtl/>
        </w:rPr>
        <w:t>,</w:t>
      </w:r>
      <w:r w:rsidRPr="00752441">
        <w:rPr>
          <w:rFonts w:hint="cs"/>
          <w:rtl/>
        </w:rPr>
        <w:t xml:space="preserve"> קובע כי תנאי הזכאות לקבלת גמלת סיעוד נקבע</w:t>
      </w:r>
      <w:r>
        <w:rPr>
          <w:rFonts w:hint="cs"/>
          <w:rtl/>
        </w:rPr>
        <w:t>ים</w:t>
      </w:r>
      <w:r w:rsidRPr="00752441">
        <w:rPr>
          <w:rFonts w:hint="cs"/>
          <w:rtl/>
        </w:rPr>
        <w:t xml:space="preserve"> בהתאם למבחן תלות של המבוטח אשר בוחן את יכולתו לבצע באופן עצמאי פעולות יומיומיות (</w:t>
      </w:r>
      <w:r w:rsidRPr="00752441">
        <w:t>ADL</w:t>
      </w:r>
      <w:r w:rsidRPr="00752441">
        <w:rPr>
          <w:rFonts w:hint="cs"/>
          <w:rtl/>
        </w:rPr>
        <w:t xml:space="preserve">). עם זאת, במקרה של מבוטח אשר מלאו לו 90 שנים מסתפק המוסד לביטוח לאומי באישור מאת רופא המומחה בגריאטריה (סעיף 224(ג)(2)), בדרך כלל מטעם קופת החולים של המבוטח. </w:t>
      </w:r>
    </w:p>
    <w:p w14:paraId="72511517" w14:textId="77777777" w:rsidR="00941116" w:rsidRPr="00752441" w:rsidRDefault="00941116" w:rsidP="00AA5BA1">
      <w:pPr>
        <w:pStyle w:val="Hesber"/>
        <w:spacing w:line="240" w:lineRule="auto"/>
        <w:rPr>
          <w:rtl/>
        </w:rPr>
      </w:pPr>
      <w:r w:rsidRPr="00752441">
        <w:rPr>
          <w:rFonts w:hint="cs"/>
          <w:rtl/>
        </w:rPr>
        <w:t xml:space="preserve">בשנים האחרונות גוברות </w:t>
      </w:r>
      <w:r>
        <w:rPr>
          <w:rFonts w:hint="cs"/>
          <w:rtl/>
        </w:rPr>
        <w:t xml:space="preserve">התלונות מצד האוכלוסייה הוותיקה </w:t>
      </w:r>
      <w:r w:rsidRPr="00752441">
        <w:rPr>
          <w:rFonts w:hint="cs"/>
          <w:rtl/>
        </w:rPr>
        <w:t xml:space="preserve">נגד מבחני הסיעוד אשר מבוצעים, לטענתה, באופן משפיל ואגרסיבי שאינו שומר על כבוד המבוטחים. בתוך כך, רבות התלונות הנוגעות לתחושה של חוסר הבנה, חוסר התחשבות ואף רצון להכשיל מראש את המבוטחים. </w:t>
      </w:r>
      <w:r>
        <w:rPr>
          <w:rFonts w:hint="cs"/>
          <w:rtl/>
        </w:rPr>
        <w:t>מסיבה זו</w:t>
      </w:r>
      <w:r w:rsidRPr="00752441">
        <w:rPr>
          <w:rFonts w:hint="cs"/>
          <w:rtl/>
        </w:rPr>
        <w:t xml:space="preserve"> קשישים רבים מסרבים לעבור את הבדיקה בשל הרצון לשמור על כבודם, ובכך נמנעת מהם ההכרה ועמה הזכאות. לעתים קרובות מקבלת תופעה זו ביטוי גם בוועדות הכנסת השונות ובאמצעי התקשורת. </w:t>
      </w:r>
    </w:p>
    <w:p w14:paraId="2BA30267" w14:textId="77777777" w:rsidR="00941116" w:rsidRPr="00752441" w:rsidRDefault="00941116" w:rsidP="00AA5BA1">
      <w:pPr>
        <w:pStyle w:val="Hesber"/>
        <w:spacing w:line="240" w:lineRule="auto"/>
        <w:rPr>
          <w:rtl/>
        </w:rPr>
      </w:pPr>
      <w:r w:rsidRPr="00752441">
        <w:rPr>
          <w:rtl/>
        </w:rPr>
        <w:t>הצעת חוק</w:t>
      </w:r>
      <w:r>
        <w:rPr>
          <w:rFonts w:hint="cs"/>
          <w:rtl/>
        </w:rPr>
        <w:t xml:space="preserve"> זו</w:t>
      </w:r>
      <w:r w:rsidRPr="00752441">
        <w:rPr>
          <w:rtl/>
        </w:rPr>
        <w:t xml:space="preserve"> באה לבטל את מבחני התלות לקשישים מעל גיל </w:t>
      </w:r>
      <w:r w:rsidRPr="00752441">
        <w:rPr>
          <w:rFonts w:hint="cs"/>
          <w:rtl/>
        </w:rPr>
        <w:t>75</w:t>
      </w:r>
      <w:r w:rsidRPr="00752441">
        <w:rPr>
          <w:rtl/>
        </w:rPr>
        <w:t xml:space="preserve">, כך שמבוטח </w:t>
      </w:r>
      <w:r w:rsidRPr="00752441">
        <w:rPr>
          <w:rFonts w:hint="cs"/>
          <w:rtl/>
        </w:rPr>
        <w:t xml:space="preserve">מעל לגיל זה </w:t>
      </w:r>
      <w:r w:rsidRPr="00752441">
        <w:rPr>
          <w:rtl/>
        </w:rPr>
        <w:t>י</w:t>
      </w:r>
      <w:r w:rsidRPr="00752441">
        <w:rPr>
          <w:rFonts w:hint="cs"/>
          <w:rtl/>
        </w:rPr>
        <w:t xml:space="preserve">וכל </w:t>
      </w:r>
      <w:r w:rsidRPr="00752441">
        <w:rPr>
          <w:rtl/>
        </w:rPr>
        <w:t xml:space="preserve">לבחור בין בדיקת תלות על ידי רופא מומחה בגריאטריה, כפי שקיים כיום לגבי קשישים מעל גיל 90, לבין בדיקת </w:t>
      </w:r>
      <w:r w:rsidRPr="00752441">
        <w:rPr>
          <w:rFonts w:hint="cs"/>
          <w:rtl/>
        </w:rPr>
        <w:t>ה</w:t>
      </w:r>
      <w:r w:rsidRPr="00752441">
        <w:rPr>
          <w:rtl/>
        </w:rPr>
        <w:t>תלות</w:t>
      </w:r>
      <w:r>
        <w:rPr>
          <w:rFonts w:hint="cs"/>
          <w:rtl/>
        </w:rPr>
        <w:t xml:space="preserve"> על ידי אחות בריאות הציבור</w:t>
      </w:r>
      <w:r w:rsidRPr="00752441">
        <w:rPr>
          <w:rtl/>
        </w:rPr>
        <w:t xml:space="preserve">. </w:t>
      </w:r>
    </w:p>
    <w:p w14:paraId="279FE463" w14:textId="77777777" w:rsidR="00941116" w:rsidRDefault="00941116" w:rsidP="00AA5BA1">
      <w:pPr>
        <w:pStyle w:val="Hesber"/>
        <w:spacing w:line="240" w:lineRule="auto"/>
        <w:rPr>
          <w:rtl/>
        </w:rPr>
      </w:pPr>
      <w:r w:rsidRPr="00752441">
        <w:rPr>
          <w:rtl/>
        </w:rPr>
        <w:t>הצע</w:t>
      </w:r>
      <w:r>
        <w:rPr>
          <w:rFonts w:hint="cs"/>
          <w:rtl/>
        </w:rPr>
        <w:t>ו</w:t>
      </w:r>
      <w:r w:rsidRPr="00752441">
        <w:rPr>
          <w:rtl/>
        </w:rPr>
        <w:t>ת חוק דומ</w:t>
      </w:r>
      <w:r>
        <w:rPr>
          <w:rFonts w:hint="cs"/>
          <w:rtl/>
        </w:rPr>
        <w:t>ות</w:t>
      </w:r>
      <w:r w:rsidRPr="00752441">
        <w:rPr>
          <w:rtl/>
        </w:rPr>
        <w:t xml:space="preserve"> בעיקר</w:t>
      </w:r>
      <w:r>
        <w:rPr>
          <w:rFonts w:hint="cs"/>
          <w:rtl/>
        </w:rPr>
        <w:t>ן</w:t>
      </w:r>
      <w:r w:rsidRPr="00752441">
        <w:rPr>
          <w:rtl/>
        </w:rPr>
        <w:t xml:space="preserve"> הונח</w:t>
      </w:r>
      <w:r>
        <w:rPr>
          <w:rFonts w:hint="cs"/>
          <w:rtl/>
        </w:rPr>
        <w:t>ו</w:t>
      </w:r>
      <w:r w:rsidRPr="00752441">
        <w:rPr>
          <w:rtl/>
        </w:rPr>
        <w:t xml:space="preserve"> על שולחן הכנסת העשרים על ידי חבר הכנסת נחמן שי (פ/2759/20)</w:t>
      </w:r>
      <w:r w:rsidRPr="00752441">
        <w:rPr>
          <w:rFonts w:hint="cs"/>
          <w:rtl/>
        </w:rPr>
        <w:t xml:space="preserve">, על ידי חברי הכנסת שולי מועלם רפאלי ואורי </w:t>
      </w:r>
      <w:proofErr w:type="spellStart"/>
      <w:r w:rsidRPr="00752441">
        <w:rPr>
          <w:rFonts w:hint="cs"/>
          <w:rtl/>
        </w:rPr>
        <w:t>מקלב</w:t>
      </w:r>
      <w:proofErr w:type="spellEnd"/>
      <w:r w:rsidRPr="00752441">
        <w:rPr>
          <w:rFonts w:hint="cs"/>
          <w:rtl/>
        </w:rPr>
        <w:t xml:space="preserve"> (פ/</w:t>
      </w:r>
      <w:r>
        <w:rPr>
          <w:rFonts w:hint="cs"/>
          <w:rtl/>
        </w:rPr>
        <w:t>2760/20</w:t>
      </w:r>
      <w:r w:rsidRPr="00752441">
        <w:rPr>
          <w:rFonts w:hint="cs"/>
          <w:rtl/>
        </w:rPr>
        <w:t xml:space="preserve">) ועל ידי חברי הכנסת טלי </w:t>
      </w:r>
      <w:proofErr w:type="spellStart"/>
      <w:r w:rsidRPr="00752441">
        <w:rPr>
          <w:rFonts w:hint="cs"/>
          <w:rtl/>
        </w:rPr>
        <w:t>פלוסקוב</w:t>
      </w:r>
      <w:proofErr w:type="spellEnd"/>
      <w:r w:rsidRPr="00752441">
        <w:rPr>
          <w:rFonts w:hint="cs"/>
          <w:rtl/>
        </w:rPr>
        <w:t xml:space="preserve"> ואלי </w:t>
      </w:r>
      <w:proofErr w:type="spellStart"/>
      <w:r w:rsidRPr="00752441">
        <w:rPr>
          <w:rFonts w:hint="cs"/>
          <w:rtl/>
        </w:rPr>
        <w:t>אלאלוף</w:t>
      </w:r>
      <w:proofErr w:type="spellEnd"/>
      <w:r w:rsidRPr="00752441">
        <w:rPr>
          <w:rFonts w:hint="cs"/>
          <w:rtl/>
        </w:rPr>
        <w:t xml:space="preserve"> (פ/</w:t>
      </w:r>
      <w:r>
        <w:rPr>
          <w:rFonts w:hint="cs"/>
          <w:rtl/>
        </w:rPr>
        <w:t>2798/20</w:t>
      </w:r>
      <w:r w:rsidRPr="00752441">
        <w:rPr>
          <w:rFonts w:hint="cs"/>
          <w:rtl/>
        </w:rPr>
        <w:t xml:space="preserve">).  </w:t>
      </w:r>
    </w:p>
    <w:p w14:paraId="2331CD6F" w14:textId="77777777" w:rsidR="00AA5BA1" w:rsidRDefault="00AA5BA1" w:rsidP="00AA5BA1">
      <w:pPr>
        <w:pStyle w:val="Hesber"/>
        <w:spacing w:line="240" w:lineRule="auto"/>
        <w:rPr>
          <w:rtl/>
        </w:rPr>
      </w:pPr>
    </w:p>
    <w:p w14:paraId="43BC1F7E" w14:textId="77777777" w:rsidR="00AA5BA1" w:rsidRPr="00D73212" w:rsidRDefault="00AA5BA1" w:rsidP="00AA5BA1">
      <w:pPr>
        <w:pStyle w:val="Hesber"/>
        <w:spacing w:line="240" w:lineRule="auto"/>
        <w:ind w:firstLine="0"/>
        <w:rPr>
          <w:rtl/>
        </w:rPr>
      </w:pPr>
      <w:r w:rsidRPr="00D73212">
        <w:rPr>
          <w:rtl/>
        </w:rPr>
        <w:t>---------------------------------</w:t>
      </w:r>
    </w:p>
    <w:p w14:paraId="2310F8D9" w14:textId="77777777" w:rsidR="00AA5BA1" w:rsidRPr="00D73212" w:rsidRDefault="00AA5BA1" w:rsidP="00AA5BA1">
      <w:pPr>
        <w:pStyle w:val="Hesber"/>
        <w:spacing w:line="240" w:lineRule="auto"/>
        <w:ind w:firstLine="0"/>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5D275421" w14:textId="77777777" w:rsidR="00AA5BA1" w:rsidRPr="00D73212" w:rsidRDefault="00AA5BA1" w:rsidP="00AA5BA1">
      <w:pPr>
        <w:pStyle w:val="Hesber"/>
        <w:spacing w:line="240" w:lineRule="auto"/>
        <w:ind w:firstLine="0"/>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48A2D518" w14:textId="6A279016" w:rsidR="00AA5BA1" w:rsidRPr="00AA5BA1" w:rsidRDefault="00AA5BA1" w:rsidP="00AA5BA1">
      <w:pPr>
        <w:pStyle w:val="Hesber"/>
        <w:spacing w:line="240" w:lineRule="auto"/>
        <w:ind w:firstLine="0"/>
        <w:rPr>
          <w:rtl/>
        </w:rPr>
      </w:pPr>
      <w:r>
        <w:rPr>
          <w:rFonts w:hint="cs"/>
          <w:rtl/>
        </w:rPr>
        <w:t>כ"א</w:t>
      </w:r>
      <w:r w:rsidRPr="005633C9">
        <w:rPr>
          <w:rtl/>
        </w:rPr>
        <w:t xml:space="preserve"> ב</w:t>
      </w:r>
      <w:r>
        <w:rPr>
          <w:rFonts w:hint="cs"/>
          <w:rtl/>
        </w:rPr>
        <w:t>כסלו</w:t>
      </w:r>
      <w:r w:rsidRPr="005633C9">
        <w:rPr>
          <w:rtl/>
        </w:rPr>
        <w:t xml:space="preserve"> </w:t>
      </w:r>
      <w:proofErr w:type="spellStart"/>
      <w:r w:rsidRPr="005633C9">
        <w:rPr>
          <w:rtl/>
        </w:rPr>
        <w:t>התש</w:t>
      </w:r>
      <w:r>
        <w:rPr>
          <w:rFonts w:hint="cs"/>
          <w:rtl/>
        </w:rPr>
        <w:t>פ"א</w:t>
      </w:r>
      <w:proofErr w:type="spellEnd"/>
      <w:r w:rsidRPr="005633C9">
        <w:rPr>
          <w:rtl/>
        </w:rPr>
        <w:t xml:space="preserve"> </w:t>
      </w:r>
      <w:r>
        <w:rPr>
          <w:rFonts w:hint="cs"/>
          <w:rtl/>
        </w:rPr>
        <w:t>–</w:t>
      </w:r>
      <w:r w:rsidRPr="005633C9">
        <w:rPr>
          <w:rtl/>
        </w:rPr>
        <w:t xml:space="preserve"> </w:t>
      </w:r>
      <w:r>
        <w:rPr>
          <w:rFonts w:hint="cs"/>
          <w:rtl/>
        </w:rPr>
        <w:t>7</w:t>
      </w:r>
      <w:r w:rsidRPr="005633C9">
        <w:rPr>
          <w:rtl/>
        </w:rPr>
        <w:t>.</w:t>
      </w:r>
      <w:r>
        <w:rPr>
          <w:rFonts w:hint="cs"/>
          <w:rtl/>
        </w:rPr>
        <w:t>12</w:t>
      </w:r>
      <w:r w:rsidRPr="005633C9">
        <w:rPr>
          <w:rtl/>
        </w:rPr>
        <w:t>.20</w:t>
      </w:r>
      <w:bookmarkStart w:id="6" w:name="_GoBack"/>
      <w:bookmarkEnd w:id="6"/>
    </w:p>
    <w:p w14:paraId="7F6961CB" w14:textId="77777777" w:rsidR="00E13C27" w:rsidRDefault="00E13C27" w:rsidP="00E13C27">
      <w:pPr>
        <w:pStyle w:val="Hesber"/>
        <w:rPr>
          <w:rtl/>
        </w:rPr>
      </w:pPr>
    </w:p>
    <w:sectPr w:rsidR="00E13C27" w:rsidSect="00AA5BA1">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A5BA1">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AA5BA1">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C9651D9" w14:textId="77777777" w:rsidR="00941116" w:rsidRDefault="00941116" w:rsidP="00941116">
      <w:pPr>
        <w:pStyle w:val="a4"/>
        <w:rPr>
          <w:rtl/>
        </w:rPr>
      </w:pPr>
      <w:r>
        <w:rPr>
          <w:rStyle w:val="a6"/>
        </w:rPr>
        <w:footnoteRef/>
      </w:r>
      <w:r>
        <w:rPr>
          <w:rtl/>
        </w:rPr>
        <w:t xml:space="preserve"> ס"ח </w:t>
      </w:r>
      <w:proofErr w:type="spellStart"/>
      <w:r>
        <w:rPr>
          <w:rtl/>
        </w:rPr>
        <w:t>התשנ"ה</w:t>
      </w:r>
      <w:proofErr w:type="spellEnd"/>
      <w:r>
        <w:rPr>
          <w:rtl/>
        </w:rPr>
        <w:t>, עמ' 210.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5"/>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076FD"/>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2B35"/>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1116"/>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A5BA1"/>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3E14BD77-DBEA-47D2-B892-EACB3AB8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BA1"/>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AA5BA1"/>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AA5BA1"/>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AA5BA1"/>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AA5BA1"/>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AA5BA1"/>
    <w:pPr>
      <w:spacing w:line="259" w:lineRule="auto"/>
      <w:outlineLvl w:val="4"/>
    </w:pPr>
    <w:rPr>
      <w:color w:val="000000" w:themeColor="text1"/>
    </w:rPr>
  </w:style>
  <w:style w:type="character" w:default="1" w:styleId="a0">
    <w:name w:val="Default Paragraph Font"/>
    <w:uiPriority w:val="1"/>
    <w:semiHidden/>
    <w:unhideWhenUsed/>
    <w:rsid w:val="00AA5BA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A5BA1"/>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AA5BA1"/>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AA5BA1"/>
    <w:rPr>
      <w:sz w:val="36"/>
      <w:szCs w:val="52"/>
    </w:rPr>
  </w:style>
  <w:style w:type="paragraph" w:customStyle="1" w:styleId="Cover3-Haknesset">
    <w:name w:val="Cover 3-Haknesset"/>
    <w:basedOn w:val="Cover1-Reshumot"/>
    <w:rsid w:val="00AA5BA1"/>
    <w:rPr>
      <w:b/>
      <w:bCs/>
      <w:spacing w:val="60"/>
    </w:rPr>
  </w:style>
  <w:style w:type="paragraph" w:customStyle="1" w:styleId="Cover4-Date">
    <w:name w:val="Cover 4-Date"/>
    <w:basedOn w:val="a"/>
    <w:rsid w:val="00AA5BA1"/>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AA5BA1"/>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AA5BA1"/>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AA5BA1"/>
    <w:pPr>
      <w:spacing w:before="120" w:after="120"/>
    </w:pPr>
    <w:rPr>
      <w:color w:val="FF0000"/>
      <w:w w:val="80"/>
    </w:rPr>
  </w:style>
  <w:style w:type="paragraph" w:styleId="a3">
    <w:name w:val="endnote text"/>
    <w:basedOn w:val="a"/>
    <w:semiHidden/>
    <w:rsid w:val="00AA5BA1"/>
    <w:pPr>
      <w:ind w:left="227" w:hanging="227"/>
    </w:pPr>
    <w:rPr>
      <w:sz w:val="14"/>
      <w:szCs w:val="22"/>
    </w:rPr>
  </w:style>
  <w:style w:type="paragraph" w:customStyle="1" w:styleId="TableText">
    <w:name w:val="Table Text"/>
    <w:basedOn w:val="a"/>
    <w:rsid w:val="00AA5BA1"/>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AA5BA1"/>
    <w:pPr>
      <w:outlineLvl w:val="2"/>
    </w:pPr>
  </w:style>
  <w:style w:type="paragraph" w:customStyle="1" w:styleId="TableBlock">
    <w:name w:val="Table Block"/>
    <w:basedOn w:val="TableText"/>
    <w:rsid w:val="00AA5BA1"/>
    <w:pPr>
      <w:jc w:val="both"/>
    </w:pPr>
  </w:style>
  <w:style w:type="paragraph" w:customStyle="1" w:styleId="TableHead">
    <w:name w:val="Table Head"/>
    <w:basedOn w:val="TableText"/>
    <w:rsid w:val="00AA5BA1"/>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AA5BA1"/>
    <w:pPr>
      <w:outlineLvl w:val="9"/>
    </w:pPr>
  </w:style>
  <w:style w:type="paragraph" w:customStyle="1" w:styleId="Hesber">
    <w:name w:val="Hesber"/>
    <w:basedOn w:val="a"/>
    <w:rsid w:val="00AA5BA1"/>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AA5BA1"/>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AA5BA1"/>
    <w:rPr>
      <w:vertAlign w:val="superscript"/>
    </w:rPr>
  </w:style>
  <w:style w:type="paragraph" w:customStyle="1" w:styleId="HesberHeading">
    <w:name w:val="Hesber Heading"/>
    <w:basedOn w:val="Hesber"/>
    <w:rsid w:val="00AA5BA1"/>
    <w:pPr>
      <w:tabs>
        <w:tab w:val="left" w:pos="624"/>
        <w:tab w:val="left" w:pos="1247"/>
      </w:tabs>
    </w:pPr>
    <w:rPr>
      <w:b/>
      <w:bCs/>
    </w:rPr>
  </w:style>
  <w:style w:type="paragraph" w:customStyle="1" w:styleId="HesberWriters">
    <w:name w:val="Hesber Writers"/>
    <w:basedOn w:val="Hesber"/>
    <w:rsid w:val="00AA5BA1"/>
    <w:pPr>
      <w:spacing w:before="120" w:after="120"/>
      <w:ind w:left="1418"/>
      <w:jc w:val="right"/>
    </w:pPr>
    <w:rPr>
      <w:b/>
      <w:bCs/>
    </w:rPr>
  </w:style>
  <w:style w:type="paragraph" w:customStyle="1" w:styleId="Hesber1st">
    <w:name w:val="Hesber 1st"/>
    <w:basedOn w:val="Hesber"/>
    <w:rsid w:val="00AA5BA1"/>
    <w:pPr>
      <w:tabs>
        <w:tab w:val="left" w:pos="680"/>
        <w:tab w:val="left" w:pos="1020"/>
      </w:tabs>
      <w:ind w:firstLine="0"/>
    </w:pPr>
  </w:style>
  <w:style w:type="character" w:styleId="a7">
    <w:name w:val="endnote reference"/>
    <w:basedOn w:val="a0"/>
    <w:semiHidden/>
    <w:rsid w:val="00AA5BA1"/>
    <w:rPr>
      <w:vertAlign w:val="superscript"/>
    </w:rPr>
  </w:style>
  <w:style w:type="paragraph" w:customStyle="1" w:styleId="TableBlockOutdent">
    <w:name w:val="Table BlockOutdent"/>
    <w:basedOn w:val="TableBlock"/>
    <w:rsid w:val="00AA5BA1"/>
    <w:pPr>
      <w:ind w:left="624" w:hanging="624"/>
    </w:pPr>
  </w:style>
  <w:style w:type="paragraph" w:styleId="a8">
    <w:name w:val="header"/>
    <w:basedOn w:val="a"/>
    <w:rsid w:val="00AA5BA1"/>
    <w:pPr>
      <w:tabs>
        <w:tab w:val="center" w:pos="4153"/>
        <w:tab w:val="right" w:pos="8306"/>
      </w:tabs>
    </w:pPr>
  </w:style>
  <w:style w:type="paragraph" w:styleId="a9">
    <w:name w:val="footer"/>
    <w:basedOn w:val="a"/>
    <w:rsid w:val="00AA5BA1"/>
    <w:pPr>
      <w:tabs>
        <w:tab w:val="center" w:pos="4153"/>
        <w:tab w:val="right" w:pos="8306"/>
      </w:tabs>
    </w:pPr>
  </w:style>
  <w:style w:type="paragraph" w:customStyle="1" w:styleId="HeadDivreiHesber">
    <w:name w:val="Head DivreiHesber"/>
    <w:basedOn w:val="a"/>
    <w:rsid w:val="00AA5BA1"/>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AA5BA1"/>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AA5BA1"/>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semiHidden/>
    <w:rsid w:val="00941116"/>
    <w:rPr>
      <w:rFonts w:ascii="Arial" w:eastAsia="Arial Unicode MS" w:hAnsi="Arial" w:cs="David"/>
      <w:snapToGrid w:val="0"/>
      <w:sz w:val="14"/>
    </w:rPr>
  </w:style>
  <w:style w:type="character" w:customStyle="1" w:styleId="10">
    <w:name w:val="כותרת 1 תו"/>
    <w:basedOn w:val="a0"/>
    <w:link w:val="1"/>
    <w:uiPriority w:val="9"/>
    <w:rsid w:val="00AA5BA1"/>
    <w:rPr>
      <w:rFonts w:asciiTheme="majorHAnsi" w:eastAsiaTheme="majorEastAsia" w:hAnsiTheme="majorHAnsi" w:cs="David"/>
      <w:bCs/>
      <w:sz w:val="32"/>
      <w:szCs w:val="36"/>
    </w:rPr>
  </w:style>
  <w:style w:type="character" w:customStyle="1" w:styleId="20">
    <w:name w:val="כותרת 2 תו"/>
    <w:basedOn w:val="a0"/>
    <w:link w:val="2"/>
    <w:rsid w:val="00AA5BA1"/>
    <w:rPr>
      <w:rFonts w:asciiTheme="majorHAnsi" w:eastAsiaTheme="majorEastAsia" w:hAnsiTheme="majorHAnsi" w:cs="David"/>
      <w:bCs/>
      <w:sz w:val="26"/>
      <w:szCs w:val="36"/>
      <w:u w:val="single"/>
    </w:rPr>
  </w:style>
  <w:style w:type="character" w:customStyle="1" w:styleId="30">
    <w:name w:val="כותרת 3 תו"/>
    <w:basedOn w:val="a0"/>
    <w:link w:val="3"/>
    <w:rsid w:val="00AA5BA1"/>
    <w:rPr>
      <w:rFonts w:asciiTheme="majorHAnsi" w:eastAsiaTheme="majorEastAsia" w:hAnsiTheme="majorHAnsi" w:cs="David"/>
      <w:sz w:val="24"/>
      <w:szCs w:val="28"/>
      <w:u w:val="double"/>
    </w:rPr>
  </w:style>
  <w:style w:type="character" w:customStyle="1" w:styleId="40">
    <w:name w:val="כותרת 4 תו"/>
    <w:basedOn w:val="a0"/>
    <w:link w:val="4"/>
    <w:uiPriority w:val="9"/>
    <w:rsid w:val="00AA5BA1"/>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AA5BA1"/>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AA5BA1"/>
    <w:pPr>
      <w:widowControl/>
      <w:spacing w:before="120" w:after="120"/>
      <w:outlineLvl w:val="9"/>
    </w:pPr>
    <w:rPr>
      <w:rtl/>
      <w:cs/>
    </w:rPr>
  </w:style>
  <w:style w:type="paragraph" w:styleId="TOC1">
    <w:name w:val="toc 1"/>
    <w:basedOn w:val="a"/>
    <w:next w:val="a"/>
    <w:autoRedefine/>
    <w:uiPriority w:val="39"/>
    <w:unhideWhenUsed/>
    <w:rsid w:val="00AA5BA1"/>
    <w:pPr>
      <w:tabs>
        <w:tab w:val="right" w:leader="dot" w:pos="9629"/>
      </w:tabs>
      <w:spacing w:after="100"/>
    </w:pPr>
    <w:rPr>
      <w:bCs/>
      <w:szCs w:val="22"/>
    </w:rPr>
  </w:style>
  <w:style w:type="paragraph" w:styleId="TOC2">
    <w:name w:val="toc 2"/>
    <w:basedOn w:val="a"/>
    <w:next w:val="a"/>
    <w:uiPriority w:val="39"/>
    <w:unhideWhenUsed/>
    <w:rsid w:val="00AA5BA1"/>
    <w:pPr>
      <w:tabs>
        <w:tab w:val="right" w:leader="dot" w:pos="9628"/>
      </w:tabs>
      <w:spacing w:after="100"/>
    </w:pPr>
    <w:rPr>
      <w:szCs w:val="22"/>
    </w:rPr>
  </w:style>
  <w:style w:type="character" w:styleId="Hyperlink">
    <w:name w:val="Hyperlink"/>
    <w:basedOn w:val="a0"/>
    <w:uiPriority w:val="99"/>
    <w:unhideWhenUsed/>
    <w:rsid w:val="00AA5BA1"/>
    <w:rPr>
      <w:color w:val="0000FF" w:themeColor="hyperlink"/>
      <w:u w:val="single"/>
    </w:rPr>
  </w:style>
  <w:style w:type="paragraph" w:styleId="TOC3">
    <w:name w:val="toc 3"/>
    <w:basedOn w:val="a"/>
    <w:next w:val="a"/>
    <w:uiPriority w:val="39"/>
    <w:unhideWhenUsed/>
    <w:rsid w:val="00AA5BA1"/>
    <w:pPr>
      <w:tabs>
        <w:tab w:val="right" w:leader="dot" w:pos="9629"/>
      </w:tabs>
      <w:spacing w:after="100"/>
      <w:ind w:left="567"/>
    </w:pPr>
    <w:rPr>
      <w:szCs w:val="22"/>
    </w:rPr>
  </w:style>
  <w:style w:type="paragraph" w:styleId="TOC4">
    <w:name w:val="toc 4"/>
    <w:basedOn w:val="a"/>
    <w:next w:val="a"/>
    <w:autoRedefine/>
    <w:unhideWhenUsed/>
    <w:qFormat/>
    <w:rsid w:val="00AA5BA1"/>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AA5BA1"/>
    <w:pPr>
      <w:tabs>
        <w:tab w:val="right" w:leader="dot" w:pos="9628"/>
      </w:tabs>
      <w:spacing w:after="100"/>
      <w:ind w:left="567"/>
    </w:pPr>
    <w:rPr>
      <w:szCs w:val="22"/>
    </w:rPr>
  </w:style>
  <w:style w:type="paragraph" w:styleId="TOC6">
    <w:name w:val="toc 6"/>
    <w:basedOn w:val="a"/>
    <w:next w:val="a"/>
    <w:autoRedefine/>
    <w:semiHidden/>
    <w:unhideWhenUsed/>
    <w:rsid w:val="00AA5BA1"/>
    <w:pPr>
      <w:spacing w:after="100"/>
      <w:ind w:left="850"/>
    </w:pPr>
  </w:style>
  <w:style w:type="paragraph" w:styleId="TOC7">
    <w:name w:val="toc 7"/>
    <w:basedOn w:val="a"/>
    <w:next w:val="a"/>
    <w:autoRedefine/>
    <w:semiHidden/>
    <w:unhideWhenUsed/>
    <w:rsid w:val="00AA5BA1"/>
    <w:pPr>
      <w:spacing w:after="100"/>
      <w:ind w:left="1020"/>
    </w:pPr>
  </w:style>
  <w:style w:type="paragraph" w:styleId="TOC8">
    <w:name w:val="toc 8"/>
    <w:basedOn w:val="a"/>
    <w:next w:val="a"/>
    <w:autoRedefine/>
    <w:semiHidden/>
    <w:unhideWhenUsed/>
    <w:rsid w:val="00AA5BA1"/>
    <w:pPr>
      <w:spacing w:after="100"/>
      <w:ind w:left="1190"/>
    </w:pPr>
  </w:style>
  <w:style w:type="paragraph" w:styleId="TOC9">
    <w:name w:val="toc 9"/>
    <w:basedOn w:val="a"/>
    <w:next w:val="a"/>
    <w:autoRedefine/>
    <w:semiHidden/>
    <w:unhideWhenUsed/>
    <w:rsid w:val="00AA5BA1"/>
    <w:pPr>
      <w:spacing w:after="100"/>
      <w:ind w:left="1360"/>
    </w:pPr>
  </w:style>
  <w:style w:type="paragraph" w:customStyle="1" w:styleId="TableHead2">
    <w:name w:val="Table Head2"/>
    <w:basedOn w:val="TableHead"/>
    <w:qFormat/>
    <w:rsid w:val="00AA5BA1"/>
    <w:pPr>
      <w:outlineLvl w:val="9"/>
    </w:pPr>
  </w:style>
  <w:style w:type="paragraph" w:customStyle="1" w:styleId="TableSideHeading2">
    <w:name w:val="Table SideHeading2"/>
    <w:basedOn w:val="TableSideHeading"/>
    <w:autoRedefine/>
    <w:qFormat/>
    <w:rsid w:val="00AA5BA1"/>
    <w:pPr>
      <w:keepLines w:val="0"/>
      <w:outlineLvl w:val="9"/>
    </w:pPr>
  </w:style>
  <w:style w:type="paragraph" w:customStyle="1" w:styleId="0">
    <w:name w:val="סגנון שורה ראשונה:  0  ס''מ"/>
    <w:basedOn w:val="2"/>
    <w:rsid w:val="00AA5BA1"/>
    <w:rPr>
      <w:rFonts w:eastAsia="Times New Roman"/>
    </w:rPr>
  </w:style>
  <w:style w:type="paragraph" w:styleId="af">
    <w:name w:val="List Paragraph"/>
    <w:basedOn w:val="a"/>
    <w:uiPriority w:val="34"/>
    <w:qFormat/>
    <w:rsid w:val="00AA5BA1"/>
    <w:pPr>
      <w:widowControl/>
      <w:spacing w:line="259" w:lineRule="auto"/>
    </w:pPr>
    <w:rPr>
      <w:rFonts w:asciiTheme="minorHAnsi" w:hAnsiTheme="minorHAnsi"/>
      <w:sz w:val="22"/>
    </w:rPr>
  </w:style>
  <w:style w:type="table" w:styleId="af0">
    <w:name w:val="Table Grid"/>
    <w:basedOn w:val="a1"/>
    <w:rsid w:val="00AA5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AA5BA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AA5B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AA5BA1"/>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AA5BA1"/>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F427BF53-2DBC-41D7-8557-1A55DFF50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9A813-0D38-47FA-98AB-8BE7B20BC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268</Words>
  <Characters>1532</Characters>
  <Application>Microsoft Office Word</Application>
  <DocSecurity>0</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6</cp:revision>
  <cp:lastPrinted>2013-07-04T08:25:00Z</cp:lastPrinted>
  <dcterms:created xsi:type="dcterms:W3CDTF">2015-04-20T09:58:00Z</dcterms:created>
  <dcterms:modified xsi:type="dcterms:W3CDTF">2020-12-03T09:57:00Z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2148683</vt:r8>
  </property>
</Properties>
</file>