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2148685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ג'אבר עסאקלה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איימן עודה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עאידה תומא סלימאן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עופר כסיף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יוסף ג'בארין</w:t>
      </w:r>
      <w:bookmarkEnd w:id="3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732A81E8" w:rsidR="00E13C27" w:rsidRPr="00E06736" w:rsidRDefault="00904591" w:rsidP="00756197">
      <w:pPr>
        <w:pStyle w:val="David"/>
        <w:spacing w:line="240" w:lineRule="auto"/>
        <w:ind w:left="3544"/>
        <w:rPr>
          <w:rtl/>
        </w:rPr>
      </w:pPr>
      <w:r>
        <w:t xml:space="preserve">  </w:t>
      </w:r>
      <w:bookmarkStart w:id="4" w:name="Private_Number"/>
      <w:r w:rsidR="00756197">
        <w:rPr>
          <w:rtl/>
        </w:rPr>
        <w:tab/>
      </w:r>
      <w:r w:rsidR="00756197">
        <w:rPr>
          <w:rtl/>
        </w:rPr>
        <w:tab/>
      </w:r>
      <w:r w:rsidR="00756197">
        <w:rPr>
          <w:rtl/>
        </w:rPr>
        <w:tab/>
      </w:r>
      <w:r w:rsidR="00756197">
        <w:rPr>
          <w:rtl/>
        </w:rPr>
        <w:tab/>
      </w:r>
      <w:r>
        <w:rPr>
          <w:rFonts w:hint="cs"/>
          <w:rtl/>
        </w:rPr>
        <w:t>פ/2495/23</w:t>
      </w:r>
      <w:bookmarkEnd w:id="4"/>
    </w:p>
    <w:p w14:paraId="7F6961AD" w14:textId="2886BD9B" w:rsidR="00E13C27" w:rsidRPr="00F67051" w:rsidRDefault="00A443CF" w:rsidP="00905FB0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הביטוח הלאומי (תיקון – אי שלילת זכאות לגמלת סיעוד מקשיש לאחר פטירת בן הזוג), התשפ"א</w:t>
      </w:r>
      <w:r w:rsidR="00905FB0">
        <w:rPr>
          <w:rFonts w:hint="cs"/>
          <w:rtl/>
        </w:rPr>
        <w:t>–</w:t>
      </w:r>
      <w:r>
        <w:rPr>
          <w:rFonts w:hint="cs"/>
          <w:rtl/>
        </w:rPr>
        <w:t>2020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9D1FD2" w14:paraId="5769BC28" w14:textId="77777777" w:rsidTr="00756197">
        <w:trPr>
          <w:cantSplit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4E9D0407" w14:textId="77777777" w:rsidR="009D1FD2" w:rsidRDefault="009D1FD2" w:rsidP="005773DE">
            <w:pPr>
              <w:pStyle w:val="TableSideHeading"/>
              <w:keepLines w:val="0"/>
            </w:pPr>
            <w:r>
              <w:rPr>
                <w:sz w:val="26"/>
                <w:rtl/>
              </w:rPr>
              <w:t>תיקון סעיף 224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8B05775" w14:textId="77777777" w:rsidR="009D1FD2" w:rsidRDefault="009D1FD2" w:rsidP="005773DE">
            <w:pPr>
              <w:pStyle w:val="TableText"/>
              <w:jc w:val="both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 w14:paraId="20181852" w14:textId="77777777" w:rsidR="009D1FD2" w:rsidRDefault="009D1FD2" w:rsidP="00756197">
            <w:pPr>
              <w:pStyle w:val="TableBlock"/>
            </w:pPr>
            <w:r>
              <w:rPr>
                <w:sz w:val="26"/>
                <w:rtl/>
              </w:rPr>
              <w:t>בחוק הביטוח הלאומי</w:t>
            </w:r>
            <w:r>
              <w:rPr>
                <w:rFonts w:hint="cs"/>
                <w:sz w:val="26"/>
                <w:rtl/>
              </w:rPr>
              <w:t xml:space="preserve"> [נוסח משולב]</w:t>
            </w:r>
            <w:r>
              <w:rPr>
                <w:sz w:val="26"/>
                <w:rtl/>
              </w:rPr>
              <w:t>, התשנ"ה–1995</w:t>
            </w:r>
            <w:r w:rsidRPr="00756197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>ב</w:t>
            </w:r>
            <w:r>
              <w:rPr>
                <w:sz w:val="26"/>
                <w:rtl/>
              </w:rPr>
              <w:t xml:space="preserve">סעיף 224(ד)(1), </w:t>
            </w:r>
            <w:r>
              <w:rPr>
                <w:rFonts w:hint="cs"/>
                <w:sz w:val="26"/>
                <w:rtl/>
              </w:rPr>
              <w:t>בסופו</w:t>
            </w:r>
            <w:r>
              <w:rPr>
                <w:sz w:val="26"/>
                <w:rtl/>
              </w:rPr>
              <w:t xml:space="preserve"> יבוא</w:t>
            </w:r>
            <w:r>
              <w:rPr>
                <w:rFonts w:hint="cs"/>
                <w:sz w:val="26"/>
                <w:rtl/>
              </w:rPr>
              <w:t xml:space="preserve"> "</w:t>
            </w:r>
            <w:r>
              <w:rPr>
                <w:sz w:val="26"/>
                <w:rtl/>
              </w:rPr>
              <w:t xml:space="preserve">ואולם, במקרה של מבוטח שהיה זכאי לגמלת סיעוד לפי פרק זה,  ובן זוגו נפטר – לא תישלל זכאותו </w:t>
            </w:r>
            <w:r>
              <w:rPr>
                <w:rFonts w:hint="cs"/>
                <w:sz w:val="26"/>
                <w:rtl/>
              </w:rPr>
              <w:t xml:space="preserve">רק </w:t>
            </w:r>
            <w:r>
              <w:rPr>
                <w:sz w:val="26"/>
                <w:rtl/>
              </w:rPr>
              <w:t xml:space="preserve">עקב </w:t>
            </w:r>
            <w:r>
              <w:rPr>
                <w:rFonts w:hint="cs"/>
                <w:sz w:val="26"/>
                <w:rtl/>
              </w:rPr>
              <w:t>השינוי במבחן ההכנסה שבו הוא נבדק</w:t>
            </w:r>
            <w:r>
              <w:rPr>
                <w:sz w:val="26"/>
                <w:rtl/>
              </w:rPr>
              <w:t>; לעניין זה, "שלילה" – לרבות כל קביעה שבשלה תופחת הזכאות לגמלה."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DCD83EE" w14:textId="77777777" w:rsidR="009D1FD2" w:rsidRPr="00BF45F5" w:rsidRDefault="009D1FD2" w:rsidP="00BF45F5">
      <w:pPr>
        <w:pStyle w:val="Hesber"/>
        <w:rPr>
          <w:rtl/>
        </w:rPr>
      </w:pPr>
      <w:r w:rsidRPr="00BF45F5">
        <w:rPr>
          <w:rFonts w:hint="cs"/>
          <w:rtl/>
        </w:rPr>
        <w:t>מבחן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ההכנסה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לקביעת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זכאות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לגמלת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לפי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חוק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הביטוח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הלאומי [נוסח משולב], התשנ"ה</w:t>
      </w:r>
      <w:r w:rsidRPr="00BF45F5">
        <w:rPr>
          <w:rFonts w:hint="eastAsia"/>
          <w:rtl/>
        </w:rPr>
        <w:t>–</w:t>
      </w:r>
      <w:r w:rsidRPr="00BF45F5">
        <w:rPr>
          <w:rFonts w:hint="cs"/>
          <w:rtl/>
        </w:rPr>
        <w:t>1995,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מחושב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באופן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צירוף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מכלול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ההכנסות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שני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בני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הזוג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מכלל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מקורות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ההכנסה,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ולמעט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הכנסות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המשולמות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לפי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חוק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נכי רדיפות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הנאצים, התשי"ז</w:t>
      </w:r>
      <w:r w:rsidRPr="00BF45F5">
        <w:rPr>
          <w:rFonts w:hint="eastAsia"/>
          <w:rtl/>
        </w:rPr>
        <w:t>–</w:t>
      </w:r>
      <w:r w:rsidRPr="00BF45F5">
        <w:rPr>
          <w:rFonts w:hint="cs"/>
          <w:rtl/>
        </w:rPr>
        <w:t>1957,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חוק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הטבות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לניצולי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שואה, התשס"ז</w:t>
      </w:r>
      <w:r w:rsidRPr="00BF45F5">
        <w:rPr>
          <w:rFonts w:hint="eastAsia"/>
          <w:rtl/>
        </w:rPr>
        <w:t>–</w:t>
      </w:r>
      <w:r w:rsidRPr="00BF45F5">
        <w:rPr>
          <w:rFonts w:hint="cs"/>
          <w:rtl/>
        </w:rPr>
        <w:t>2007. תקרת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ההכנסה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לצורך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קביעת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הזכאות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לזוג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גבוהה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</w:t>
      </w:r>
      <w:r w:rsidRPr="00BF45F5">
        <w:rPr>
          <w:rtl/>
        </w:rPr>
        <w:t xml:space="preserve">-50% </w:t>
      </w:r>
      <w:r w:rsidRPr="00BF45F5">
        <w:rPr>
          <w:rFonts w:hint="cs"/>
          <w:rtl/>
        </w:rPr>
        <w:t>מזו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יחיד</w:t>
      </w:r>
      <w:r w:rsidRPr="00BF45F5">
        <w:rPr>
          <w:rtl/>
        </w:rPr>
        <w:t xml:space="preserve">. </w:t>
      </w:r>
      <w:r w:rsidRPr="00BF45F5">
        <w:rPr>
          <w:rFonts w:hint="cs"/>
          <w:rtl/>
        </w:rPr>
        <w:t>במצב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הנוכחי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–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כאשר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נפטר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אחד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מבני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הזוג</w:t>
      </w:r>
      <w:r w:rsidRPr="00BF45F5">
        <w:rPr>
          <w:rtl/>
        </w:rPr>
        <w:t xml:space="preserve"> – </w:t>
      </w:r>
      <w:r w:rsidRPr="00BF45F5">
        <w:rPr>
          <w:rFonts w:hint="cs"/>
          <w:rtl/>
        </w:rPr>
        <w:t>נערך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מבחן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הכנסה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מחודש</w:t>
      </w:r>
      <w:r w:rsidRPr="00BF45F5">
        <w:rPr>
          <w:rtl/>
        </w:rPr>
        <w:t xml:space="preserve">, </w:t>
      </w:r>
      <w:r w:rsidRPr="00BF45F5">
        <w:rPr>
          <w:rFonts w:hint="cs"/>
          <w:rtl/>
        </w:rPr>
        <w:t>והקשיש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עלול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לאבד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זכאותו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לקצבת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</w:t>
      </w:r>
      <w:r w:rsidRPr="00BF45F5">
        <w:rPr>
          <w:rtl/>
        </w:rPr>
        <w:t>.</w:t>
      </w:r>
    </w:p>
    <w:p w14:paraId="504B4363" w14:textId="69652315" w:rsidR="009D1FD2" w:rsidRPr="00BF45F5" w:rsidRDefault="009D1FD2" w:rsidP="00BF45F5">
      <w:pPr>
        <w:pStyle w:val="Hesber"/>
        <w:rPr>
          <w:rtl/>
        </w:rPr>
      </w:pPr>
      <w:r w:rsidRPr="00BF45F5">
        <w:rPr>
          <w:rFonts w:hint="cs"/>
          <w:rtl/>
        </w:rPr>
        <w:t>מצב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דברים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עלול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להביא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לכאב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כפול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ומכופל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לאלמן או לאלמנה.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מבוטח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שהתאלמן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עלולה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להישלל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זכאותו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לגמלת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</w:t>
      </w:r>
      <w:r w:rsidRPr="00BF45F5">
        <w:rPr>
          <w:rtl/>
        </w:rPr>
        <w:t xml:space="preserve">, </w:t>
      </w:r>
      <w:r w:rsidRPr="00BF45F5">
        <w:rPr>
          <w:rFonts w:hint="cs"/>
          <w:rtl/>
        </w:rPr>
        <w:t>ושלילת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הזכאות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מותירה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קשישים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במצב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שבו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רק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שבן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זוגם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איננו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עוד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אלא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גם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שעות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המטפלת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הסיעודית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מופסקות</w:t>
      </w:r>
      <w:r w:rsidRPr="00BF45F5">
        <w:rPr>
          <w:rtl/>
        </w:rPr>
        <w:t xml:space="preserve">.  </w:t>
      </w:r>
    </w:p>
    <w:p w14:paraId="7265059A" w14:textId="77777777" w:rsidR="009D1FD2" w:rsidRPr="00BF45F5" w:rsidRDefault="009D1FD2" w:rsidP="00BF45F5">
      <w:pPr>
        <w:pStyle w:val="Hesber"/>
        <w:rPr>
          <w:rtl/>
        </w:rPr>
      </w:pPr>
      <w:r w:rsidRPr="00BF45F5">
        <w:rPr>
          <w:rFonts w:hint="cs"/>
          <w:rtl/>
        </w:rPr>
        <w:t>מטרת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השינוי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המוצע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היא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לתקן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מצב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ולהבטיח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כי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קשיש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ימצא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עצמו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לפתע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אלמן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ובודד</w:t>
      </w:r>
      <w:r w:rsidRPr="00BF45F5">
        <w:rPr>
          <w:rtl/>
        </w:rPr>
        <w:t xml:space="preserve">, </w:t>
      </w:r>
      <w:r w:rsidRPr="00BF45F5">
        <w:rPr>
          <w:rFonts w:hint="cs"/>
          <w:rtl/>
        </w:rPr>
        <w:t>וללא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כל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סיוע</w:t>
      </w:r>
      <w:r w:rsidRPr="00BF45F5">
        <w:rPr>
          <w:rtl/>
        </w:rPr>
        <w:t>.</w:t>
      </w:r>
    </w:p>
    <w:p w14:paraId="2894E094" w14:textId="77777777" w:rsidR="009D1FD2" w:rsidRPr="00BF45F5" w:rsidRDefault="009D1FD2" w:rsidP="00BF45F5">
      <w:pPr>
        <w:pStyle w:val="Hesber"/>
        <w:rPr>
          <w:rtl/>
        </w:rPr>
      </w:pPr>
      <w:r w:rsidRPr="00BF45F5">
        <w:rPr>
          <w:rFonts w:hint="cs"/>
          <w:rtl/>
        </w:rPr>
        <w:t>לכן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מוצע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כי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בכל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מקרה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שבו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קשיש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סיעודי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התאלמן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לא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תישלל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זכאותו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עקב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שינוי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תקרת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ההכנסה</w:t>
      </w:r>
      <w:r w:rsidRPr="00BF45F5">
        <w:rPr>
          <w:rtl/>
        </w:rPr>
        <w:t xml:space="preserve">, </w:t>
      </w:r>
      <w:r w:rsidRPr="00BF45F5">
        <w:rPr>
          <w:rFonts w:hint="cs"/>
          <w:rtl/>
        </w:rPr>
        <w:t>אם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סיבת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השינוי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נובעת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מפטירת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בן או בת</w:t>
      </w:r>
      <w:r w:rsidRPr="00BF45F5">
        <w:rPr>
          <w:rtl/>
        </w:rPr>
        <w:t xml:space="preserve"> </w:t>
      </w:r>
      <w:r w:rsidRPr="00BF45F5">
        <w:rPr>
          <w:rFonts w:hint="cs"/>
          <w:rtl/>
        </w:rPr>
        <w:t>הזוג</w:t>
      </w:r>
      <w:r w:rsidRPr="00BF45F5">
        <w:rPr>
          <w:rtl/>
        </w:rPr>
        <w:t>.</w:t>
      </w:r>
    </w:p>
    <w:p w14:paraId="7F6961CB" w14:textId="178C5A43" w:rsidR="00E13C27" w:rsidRDefault="009D1FD2" w:rsidP="00756197">
      <w:pPr>
        <w:pStyle w:val="Hesber"/>
        <w:rPr>
          <w:rtl/>
        </w:rPr>
      </w:pPr>
      <w:r w:rsidRPr="00BF45F5">
        <w:rPr>
          <w:rFonts w:hint="cs"/>
          <w:rtl/>
        </w:rPr>
        <w:lastRenderedPageBreak/>
        <w:t>הצע</w:t>
      </w:r>
      <w:r w:rsidR="00CE53ED" w:rsidRPr="00BF45F5">
        <w:rPr>
          <w:rFonts w:hint="cs"/>
          <w:rtl/>
        </w:rPr>
        <w:t>ו</w:t>
      </w:r>
      <w:r w:rsidRPr="00BF45F5">
        <w:rPr>
          <w:rFonts w:hint="cs"/>
          <w:rtl/>
        </w:rPr>
        <w:t>ת חוק זה</w:t>
      </w:r>
      <w:r w:rsidR="00CE53ED" w:rsidRPr="00BF45F5">
        <w:rPr>
          <w:rFonts w:hint="cs"/>
          <w:rtl/>
        </w:rPr>
        <w:t>ות</w:t>
      </w:r>
      <w:r w:rsidRPr="00BF45F5">
        <w:rPr>
          <w:rFonts w:hint="cs"/>
          <w:rtl/>
        </w:rPr>
        <w:t xml:space="preserve"> הונח</w:t>
      </w:r>
      <w:r w:rsidR="00756197">
        <w:rPr>
          <w:rFonts w:hint="cs"/>
          <w:rtl/>
        </w:rPr>
        <w:t>ו</w:t>
      </w:r>
      <w:r w:rsidRPr="00BF45F5">
        <w:rPr>
          <w:rFonts w:hint="cs"/>
          <w:rtl/>
        </w:rPr>
        <w:t xml:space="preserve"> על שולחן הכנסת העשרים על יד חבר הכנסת איציק שמולי </w:t>
      </w:r>
      <w:r w:rsidR="00CE53ED" w:rsidRPr="00BF45F5">
        <w:rPr>
          <w:rFonts w:hint="cs"/>
          <w:rtl/>
        </w:rPr>
        <w:t>ו</w:t>
      </w:r>
      <w:r w:rsidRPr="00BF45F5">
        <w:rPr>
          <w:rFonts w:hint="cs"/>
          <w:rtl/>
        </w:rPr>
        <w:t>קבוצת חברי כנסת (פ/4027/20)</w:t>
      </w:r>
      <w:r w:rsidR="00CE53ED" w:rsidRPr="00BF45F5">
        <w:rPr>
          <w:rFonts w:hint="cs"/>
          <w:rtl/>
        </w:rPr>
        <w:t xml:space="preserve"> ועל שולחן הכנסת העשרים ושתיים על ידי חבר הכנסת איציק שמולי (פ/637/22).</w:t>
      </w:r>
    </w:p>
    <w:p w14:paraId="7E6F74E8" w14:textId="77777777" w:rsidR="00756197" w:rsidRDefault="00756197" w:rsidP="00756197">
      <w:pPr>
        <w:pStyle w:val="Hesber"/>
        <w:rPr>
          <w:rtl/>
        </w:rPr>
      </w:pPr>
    </w:p>
    <w:p w14:paraId="2D83C5B0" w14:textId="77777777" w:rsidR="00756197" w:rsidRPr="00D73212" w:rsidRDefault="00756197" w:rsidP="00756197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3343C036" w14:textId="77777777" w:rsidR="00756197" w:rsidRPr="00D73212" w:rsidRDefault="00756197" w:rsidP="00756197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14:paraId="4931B833" w14:textId="77777777" w:rsidR="00756197" w:rsidRPr="00D73212" w:rsidRDefault="00756197" w:rsidP="00756197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14:paraId="13745B8A" w14:textId="77777777" w:rsidR="00756197" w:rsidRPr="000339B5" w:rsidRDefault="00756197" w:rsidP="00756197">
      <w:pPr>
        <w:pStyle w:val="Hesber"/>
        <w:ind w:firstLine="0"/>
      </w:pPr>
      <w:r>
        <w:rPr>
          <w:rFonts w:hint="cs"/>
          <w:rtl/>
        </w:rPr>
        <w:t>כ"א</w:t>
      </w:r>
      <w:r w:rsidRPr="005633C9">
        <w:rPr>
          <w:rtl/>
        </w:rPr>
        <w:t xml:space="preserve"> ב</w:t>
      </w:r>
      <w:r>
        <w:rPr>
          <w:rFonts w:hint="cs"/>
          <w:rtl/>
        </w:rPr>
        <w:t>כסלו</w:t>
      </w:r>
      <w:r w:rsidRPr="005633C9">
        <w:rPr>
          <w:rtl/>
        </w:rPr>
        <w:t xml:space="preserve"> התש</w:t>
      </w:r>
      <w:r>
        <w:rPr>
          <w:rFonts w:hint="cs"/>
          <w:rtl/>
        </w:rPr>
        <w:t>פ"א</w:t>
      </w:r>
      <w:r w:rsidRPr="005633C9">
        <w:rPr>
          <w:rtl/>
        </w:rPr>
        <w:t xml:space="preserve"> </w:t>
      </w:r>
      <w:r>
        <w:rPr>
          <w:rFonts w:hint="cs"/>
          <w:rtl/>
        </w:rPr>
        <w:t>–</w:t>
      </w:r>
      <w:r w:rsidRPr="005633C9">
        <w:rPr>
          <w:rtl/>
        </w:rPr>
        <w:t xml:space="preserve"> </w:t>
      </w:r>
      <w:r>
        <w:rPr>
          <w:rFonts w:hint="cs"/>
          <w:rtl/>
        </w:rPr>
        <w:t>7</w:t>
      </w:r>
      <w:r w:rsidRPr="005633C9">
        <w:rPr>
          <w:rtl/>
        </w:rPr>
        <w:t>.</w:t>
      </w:r>
      <w:r>
        <w:rPr>
          <w:rFonts w:hint="cs"/>
          <w:rtl/>
        </w:rPr>
        <w:t>12</w:t>
      </w:r>
      <w:r w:rsidRPr="005633C9">
        <w:rPr>
          <w:rtl/>
        </w:rPr>
        <w:t>.20</w:t>
      </w:r>
    </w:p>
    <w:p w14:paraId="14E4EDCE" w14:textId="77777777" w:rsidR="00756197" w:rsidRPr="00756197" w:rsidRDefault="00756197" w:rsidP="00756197">
      <w:pPr>
        <w:pStyle w:val="Hesber"/>
        <w:rPr>
          <w:rtl/>
        </w:rPr>
      </w:pPr>
      <w:bookmarkStart w:id="6" w:name="_GoBack"/>
      <w:bookmarkEnd w:id="6"/>
    </w:p>
    <w:sectPr w:rsidR="00756197" w:rsidRPr="00756197" w:rsidSect="00756197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56197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756197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E64377B" w14:textId="77777777" w:rsidR="009D1FD2" w:rsidRDefault="009D1FD2" w:rsidP="009D1FD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950B6"/>
    <w:rsid w:val="006A2D81"/>
    <w:rsid w:val="006C1D0D"/>
    <w:rsid w:val="0070601E"/>
    <w:rsid w:val="00712C72"/>
    <w:rsid w:val="00735FE9"/>
    <w:rsid w:val="00756197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05FB0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1FD2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BF45F5"/>
    <w:rsid w:val="00C23B1A"/>
    <w:rsid w:val="00C310EB"/>
    <w:rsid w:val="00C9176A"/>
    <w:rsid w:val="00CE53ED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4C9FEC6-C6A5-4E3F-803D-DB3558D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9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19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5619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5619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5619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5619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75619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56197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75619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56197"/>
    <w:rPr>
      <w:sz w:val="36"/>
      <w:szCs w:val="52"/>
    </w:rPr>
  </w:style>
  <w:style w:type="paragraph" w:customStyle="1" w:styleId="Cover3-Haknesset">
    <w:name w:val="Cover 3-Haknesset"/>
    <w:basedOn w:val="Cover1-Reshumot"/>
    <w:rsid w:val="00756197"/>
    <w:rPr>
      <w:b/>
      <w:bCs/>
      <w:spacing w:val="60"/>
    </w:rPr>
  </w:style>
  <w:style w:type="paragraph" w:customStyle="1" w:styleId="Cover4-Date">
    <w:name w:val="Cover 4-Date"/>
    <w:basedOn w:val="a"/>
    <w:rsid w:val="0075619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75619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75619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5619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75619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75619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756197"/>
    <w:pPr>
      <w:outlineLvl w:val="2"/>
    </w:pPr>
  </w:style>
  <w:style w:type="paragraph" w:customStyle="1" w:styleId="TableBlock">
    <w:name w:val="Table Block"/>
    <w:basedOn w:val="TableText"/>
    <w:rsid w:val="00756197"/>
    <w:pPr>
      <w:jc w:val="both"/>
    </w:pPr>
  </w:style>
  <w:style w:type="paragraph" w:customStyle="1" w:styleId="TableHead">
    <w:name w:val="Table Head"/>
    <w:basedOn w:val="TableText"/>
    <w:rsid w:val="00756197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756197"/>
    <w:pPr>
      <w:outlineLvl w:val="9"/>
    </w:pPr>
  </w:style>
  <w:style w:type="paragraph" w:customStyle="1" w:styleId="Hesber">
    <w:name w:val="Hesber"/>
    <w:basedOn w:val="a"/>
    <w:rsid w:val="0075619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75619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756197"/>
    <w:rPr>
      <w:vertAlign w:val="superscript"/>
    </w:rPr>
  </w:style>
  <w:style w:type="paragraph" w:customStyle="1" w:styleId="HesberHeading">
    <w:name w:val="Hesber Heading"/>
    <w:basedOn w:val="Hesber"/>
    <w:rsid w:val="0075619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56197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756197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756197"/>
    <w:rPr>
      <w:vertAlign w:val="superscript"/>
    </w:rPr>
  </w:style>
  <w:style w:type="paragraph" w:customStyle="1" w:styleId="TableBlockOutdent">
    <w:name w:val="Table BlockOutdent"/>
    <w:basedOn w:val="TableBlock"/>
    <w:rsid w:val="00756197"/>
    <w:pPr>
      <w:ind w:left="624" w:hanging="624"/>
    </w:pPr>
  </w:style>
  <w:style w:type="paragraph" w:styleId="a7">
    <w:name w:val="header"/>
    <w:basedOn w:val="a"/>
    <w:rsid w:val="0075619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5619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75619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75619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75619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756197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756197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75619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5619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56197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75619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5619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56197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756197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756197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5619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5619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5619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5619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5619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56197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75619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5619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56197"/>
    <w:rPr>
      <w:rFonts w:eastAsia="Times New Roman"/>
    </w:rPr>
  </w:style>
  <w:style w:type="paragraph" w:styleId="ae">
    <w:name w:val="List Paragraph"/>
    <w:basedOn w:val="a"/>
    <w:uiPriority w:val="34"/>
    <w:qFormat/>
    <w:rsid w:val="00756197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75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561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7561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756197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756197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BF56-7DA3-4BF6-9442-7C44AE01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A8A5F7-A5D9-43EA-9F47-42BF28F9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9</cp:revision>
  <cp:lastPrinted>2020-11-09T11:27:00Z</cp:lastPrinted>
  <dcterms:created xsi:type="dcterms:W3CDTF">2015-04-20T09:58:00Z</dcterms:created>
  <dcterms:modified xsi:type="dcterms:W3CDTF">2020-12-03T09:50:00Z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2148685</vt:r8>
  </property>
</Properties>
</file>