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2148662</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A" w14:textId="4DA6ECE5" w:rsidR="00E13C27" w:rsidRPr="00CF1AA2" w:rsidRDefault="008F6665" w:rsidP="00750A87">
      <w:pPr>
        <w:pStyle w:val="David"/>
        <w:spacing w:line="360" w:lineRule="auto"/>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ג'אבר עסאקלה</w:t>
      </w:r>
      <w:r>
        <w:br/>
      </w:r>
      <w:r>
        <w:rPr>
          <w:rFonts w:hint="cs"/>
          <w:b/>
          <w:bCs/>
          <w:rtl/>
        </w:rPr>
        <w:t xml:space="preserve"> </w:t>
      </w:r>
      <w:r>
        <w:tab/>
      </w:r>
      <w:r>
        <w:tab/>
      </w:r>
      <w:r>
        <w:tab/>
      </w:r>
      <w:r>
        <w:tab/>
      </w:r>
      <w:r>
        <w:rPr>
          <w:rFonts w:hint="cs"/>
          <w:b/>
          <w:bCs/>
          <w:rtl/>
        </w:rPr>
        <w:t>איימן עודה</w:t>
      </w:r>
      <w:r>
        <w:br/>
      </w:r>
      <w:r>
        <w:rPr>
          <w:rFonts w:hint="cs"/>
          <w:b/>
          <w:bCs/>
          <w:rtl/>
        </w:rPr>
        <w:t xml:space="preserve"> </w:t>
      </w:r>
      <w:r>
        <w:tab/>
      </w:r>
      <w:r>
        <w:tab/>
      </w:r>
      <w:r>
        <w:tab/>
      </w:r>
      <w:r>
        <w:tab/>
      </w:r>
      <w:r>
        <w:rPr>
          <w:rFonts w:hint="cs"/>
          <w:b/>
          <w:bCs/>
          <w:rtl/>
        </w:rPr>
        <w:t>עאידה תומא סלימאן</w:t>
      </w:r>
      <w:r>
        <w:br/>
      </w:r>
      <w:r>
        <w:rPr>
          <w:rFonts w:hint="cs"/>
          <w:b/>
          <w:bCs/>
          <w:rtl/>
        </w:rPr>
        <w:t xml:space="preserve"> </w:t>
      </w:r>
      <w:r>
        <w:tab/>
      </w:r>
      <w:r>
        <w:tab/>
      </w:r>
      <w:r>
        <w:tab/>
      </w:r>
      <w:r>
        <w:tab/>
      </w:r>
      <w:r>
        <w:rPr>
          <w:rFonts w:hint="cs"/>
          <w:b/>
          <w:bCs/>
          <w:rtl/>
        </w:rPr>
        <w:t>עופר כסיף</w:t>
      </w:r>
      <w:r>
        <w:br/>
      </w:r>
      <w:r>
        <w:rPr>
          <w:rFonts w:hint="cs"/>
          <w:b/>
          <w:bCs/>
          <w:rtl/>
        </w:rPr>
        <w:t xml:space="preserve"> </w:t>
      </w:r>
      <w:r>
        <w:tab/>
      </w:r>
      <w:r>
        <w:tab/>
      </w:r>
      <w:r>
        <w:tab/>
      </w:r>
      <w:r>
        <w:tab/>
      </w:r>
      <w:r>
        <w:rPr>
          <w:rFonts w:hint="cs"/>
          <w:b/>
          <w:bCs/>
          <w:rtl/>
        </w:rPr>
        <w:t>יוסף ג'בארין</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6C35AB52"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r w:rsidR="00750A87">
        <w:rPr>
          <w:rFonts w:hint="cs"/>
          <w:rtl/>
        </w:rPr>
        <w:t>פ/2490/23</w:t>
      </w:r>
    </w:p>
    <w:p w14:paraId="20DB6ED7" w14:textId="77777777" w:rsidR="003F2730" w:rsidRPr="00F67051" w:rsidRDefault="003F2730" w:rsidP="003F2730">
      <w:pPr>
        <w:pStyle w:val="HeadHatzaotHok"/>
        <w:rPr>
          <w:rtl/>
        </w:rPr>
      </w:pPr>
      <w:r>
        <w:rPr>
          <w:rFonts w:hint="cs"/>
          <w:rtl/>
        </w:rPr>
        <w:t>הצעת חוק הביטוח הלאומי (תיקון – קביעת דרגת נכות לנפגעי עבודה), התשפ"א–2020</w:t>
      </w:r>
    </w:p>
    <w:p w14:paraId="1D37F85D" w14:textId="77777777" w:rsidR="003F2730" w:rsidRDefault="003F2730" w:rsidP="003F2730">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3F2730" w:rsidRPr="00394CE8" w14:paraId="4AD62C84" w14:textId="77777777" w:rsidTr="00E342A5">
        <w:trPr>
          <w:cantSplit/>
        </w:trPr>
        <w:tc>
          <w:tcPr>
            <w:tcW w:w="1871" w:type="dxa"/>
          </w:tcPr>
          <w:p w14:paraId="073FBB7D" w14:textId="77777777" w:rsidR="003F2730" w:rsidRDefault="003F2730" w:rsidP="00E342A5">
            <w:pPr>
              <w:pStyle w:val="TableSideHeading"/>
              <w:keepLines w:val="0"/>
            </w:pPr>
            <w:r>
              <w:rPr>
                <w:rtl/>
              </w:rPr>
              <w:t>תיקון סעיף 118</w:t>
            </w:r>
          </w:p>
        </w:tc>
        <w:tc>
          <w:tcPr>
            <w:tcW w:w="624" w:type="dxa"/>
          </w:tcPr>
          <w:p w14:paraId="33086AA0" w14:textId="77777777" w:rsidR="003F2730" w:rsidRPr="00F34E40" w:rsidRDefault="003F2730" w:rsidP="00E342A5">
            <w:pPr>
              <w:pStyle w:val="TableText"/>
              <w:keepLines w:val="0"/>
            </w:pPr>
            <w:r>
              <w:rPr>
                <w:rFonts w:hint="cs"/>
                <w:rtl/>
              </w:rPr>
              <w:t>1.</w:t>
            </w:r>
          </w:p>
        </w:tc>
        <w:tc>
          <w:tcPr>
            <w:tcW w:w="7146" w:type="dxa"/>
          </w:tcPr>
          <w:p w14:paraId="64EF4926" w14:textId="77777777" w:rsidR="003F2730" w:rsidRPr="00394CE8" w:rsidRDefault="003F2730" w:rsidP="00E342A5">
            <w:pPr>
              <w:pStyle w:val="TableBlock"/>
            </w:pPr>
            <w:r w:rsidRPr="00394CE8">
              <w:rPr>
                <w:rtl/>
              </w:rPr>
              <w:t>בחוק הביטוח הלאומי [נוסח משולב], התשנ"ה–1995</w:t>
            </w:r>
            <w:r w:rsidRPr="00F23E85">
              <w:rPr>
                <w:sz w:val="14"/>
                <w:szCs w:val="20"/>
                <w:rtl/>
              </w:rPr>
              <w:footnoteReference w:id="2"/>
            </w:r>
            <w:r w:rsidRPr="00394CE8">
              <w:rPr>
                <w:rFonts w:hint="cs"/>
                <w:rtl/>
              </w:rPr>
              <w:t xml:space="preserve"> (להלן </w:t>
            </w:r>
            <w:r w:rsidRPr="00394CE8">
              <w:rPr>
                <w:rtl/>
              </w:rPr>
              <w:t>–</w:t>
            </w:r>
            <w:r>
              <w:rPr>
                <w:rFonts w:hint="cs"/>
                <w:rtl/>
              </w:rPr>
              <w:t xml:space="preserve"> </w:t>
            </w:r>
            <w:r w:rsidRPr="00394CE8">
              <w:rPr>
                <w:rFonts w:hint="cs"/>
                <w:rtl/>
              </w:rPr>
              <w:t>החוק</w:t>
            </w:r>
            <w:r>
              <w:rPr>
                <w:rFonts w:hint="cs"/>
                <w:rtl/>
              </w:rPr>
              <w:t xml:space="preserve"> העיקרי</w:t>
            </w:r>
            <w:r w:rsidRPr="00394CE8">
              <w:rPr>
                <w:rFonts w:hint="cs"/>
                <w:rtl/>
              </w:rPr>
              <w:t>)</w:t>
            </w:r>
            <w:r w:rsidRPr="00394CE8">
              <w:rPr>
                <w:rtl/>
              </w:rPr>
              <w:t xml:space="preserve">, בסעיף </w:t>
            </w:r>
            <w:r w:rsidRPr="00394CE8">
              <w:rPr>
                <w:rFonts w:hint="cs"/>
                <w:rtl/>
              </w:rPr>
              <w:t>118(א)</w:t>
            </w:r>
            <w:r>
              <w:rPr>
                <w:rFonts w:hint="cs"/>
                <w:rtl/>
              </w:rPr>
              <w:t>, בפסקה</w:t>
            </w:r>
            <w:r w:rsidRPr="00394CE8">
              <w:rPr>
                <w:rFonts w:hint="cs"/>
                <w:rtl/>
              </w:rPr>
              <w:t xml:space="preserve"> (2), בסופה יבוא "</w:t>
            </w:r>
            <w:r w:rsidRPr="00394CE8">
              <w:rPr>
                <w:rtl/>
              </w:rPr>
              <w:t xml:space="preserve">ובאישור ועדת העבודה </w:t>
            </w:r>
            <w:r>
              <w:rPr>
                <w:rFonts w:hint="cs"/>
                <w:rtl/>
              </w:rPr>
              <w:t>ו</w:t>
            </w:r>
            <w:r w:rsidRPr="00394CE8">
              <w:rPr>
                <w:rtl/>
              </w:rPr>
              <w:t>הרווחה</w:t>
            </w:r>
            <w:r>
              <w:rPr>
                <w:rFonts w:hint="cs"/>
                <w:rtl/>
              </w:rPr>
              <w:t>".</w:t>
            </w:r>
            <w:r w:rsidRPr="00394CE8">
              <w:rPr>
                <w:rtl/>
              </w:rPr>
              <w:t xml:space="preserve"> </w:t>
            </w:r>
          </w:p>
        </w:tc>
      </w:tr>
      <w:tr w:rsidR="003F2730" w:rsidRPr="00394CE8" w14:paraId="5AA33DAC" w14:textId="77777777" w:rsidTr="00E342A5">
        <w:trPr>
          <w:cantSplit/>
        </w:trPr>
        <w:tc>
          <w:tcPr>
            <w:tcW w:w="1871" w:type="dxa"/>
          </w:tcPr>
          <w:p w14:paraId="1576AB82" w14:textId="77777777" w:rsidR="003F2730" w:rsidRDefault="003F2730" w:rsidP="00E342A5">
            <w:pPr>
              <w:pStyle w:val="TableSideHeading"/>
              <w:keepLines w:val="0"/>
              <w:rPr>
                <w:rtl/>
              </w:rPr>
            </w:pPr>
            <w:r>
              <w:rPr>
                <w:rFonts w:hint="cs"/>
                <w:rtl/>
              </w:rPr>
              <w:t>תיקון סעיף 120</w:t>
            </w:r>
          </w:p>
        </w:tc>
        <w:tc>
          <w:tcPr>
            <w:tcW w:w="624" w:type="dxa"/>
          </w:tcPr>
          <w:p w14:paraId="049E4EC1" w14:textId="77777777" w:rsidR="003F2730" w:rsidRDefault="003F2730" w:rsidP="00E342A5">
            <w:pPr>
              <w:pStyle w:val="TableText"/>
              <w:keepLines w:val="0"/>
              <w:rPr>
                <w:rtl/>
              </w:rPr>
            </w:pPr>
            <w:r>
              <w:rPr>
                <w:rFonts w:hint="cs"/>
                <w:rtl/>
              </w:rPr>
              <w:t>2.</w:t>
            </w:r>
          </w:p>
        </w:tc>
        <w:tc>
          <w:tcPr>
            <w:tcW w:w="7146" w:type="dxa"/>
          </w:tcPr>
          <w:p w14:paraId="48400240" w14:textId="77777777" w:rsidR="003F2730" w:rsidRPr="00394CE8" w:rsidRDefault="003F2730" w:rsidP="00E342A5">
            <w:pPr>
              <w:pStyle w:val="TableBlock"/>
              <w:rPr>
                <w:rtl/>
              </w:rPr>
            </w:pPr>
            <w:r w:rsidRPr="00394CE8">
              <w:rPr>
                <w:rFonts w:hint="cs"/>
                <w:rtl/>
              </w:rPr>
              <w:t>בסעיף 120(ב) לחוק</w:t>
            </w:r>
            <w:r>
              <w:rPr>
                <w:rFonts w:hint="cs"/>
                <w:rtl/>
              </w:rPr>
              <w:t xml:space="preserve"> העיקרי</w:t>
            </w:r>
            <w:r w:rsidRPr="00394CE8">
              <w:rPr>
                <w:rFonts w:hint="cs"/>
                <w:rtl/>
              </w:rPr>
              <w:t xml:space="preserve">, </w:t>
            </w:r>
            <w:r w:rsidRPr="00394CE8">
              <w:rPr>
                <w:rtl/>
              </w:rPr>
              <w:t>בסופו יבוא "הוראות לפי סעיף</w:t>
            </w:r>
            <w:r>
              <w:rPr>
                <w:rFonts w:hint="cs"/>
                <w:rtl/>
              </w:rPr>
              <w:t xml:space="preserve"> קטן</w:t>
            </w:r>
            <w:r w:rsidRPr="00394CE8">
              <w:rPr>
                <w:rtl/>
              </w:rPr>
              <w:t xml:space="preserve"> זה </w:t>
            </w:r>
            <w:r>
              <w:rPr>
                <w:rFonts w:hint="cs"/>
                <w:rtl/>
              </w:rPr>
              <w:t xml:space="preserve">טעונות </w:t>
            </w:r>
            <w:r w:rsidRPr="00394CE8">
              <w:rPr>
                <w:rtl/>
              </w:rPr>
              <w:t xml:space="preserve">אישור ועדת העבודה </w:t>
            </w:r>
            <w:r>
              <w:rPr>
                <w:rFonts w:hint="cs"/>
                <w:rtl/>
              </w:rPr>
              <w:t>ו</w:t>
            </w:r>
            <w:r w:rsidRPr="00394CE8">
              <w:rPr>
                <w:rtl/>
              </w:rPr>
              <w:t>הרווחה"</w:t>
            </w:r>
            <w:r w:rsidRPr="00394CE8">
              <w:rPr>
                <w:rFonts w:hint="cs"/>
                <w:rtl/>
              </w:rPr>
              <w:t>.</w:t>
            </w:r>
          </w:p>
        </w:tc>
      </w:tr>
      <w:tr w:rsidR="003F2730" w:rsidRPr="00394CE8" w14:paraId="481160FC" w14:textId="77777777" w:rsidTr="00E342A5">
        <w:trPr>
          <w:cantSplit/>
        </w:trPr>
        <w:tc>
          <w:tcPr>
            <w:tcW w:w="1871" w:type="dxa"/>
          </w:tcPr>
          <w:p w14:paraId="4381C2F4" w14:textId="77777777" w:rsidR="003F2730" w:rsidRDefault="003F2730" w:rsidP="00E342A5">
            <w:pPr>
              <w:pStyle w:val="TableSideHeading"/>
              <w:keepLines w:val="0"/>
              <w:rPr>
                <w:rtl/>
              </w:rPr>
            </w:pPr>
            <w:r>
              <w:rPr>
                <w:rFonts w:hint="cs"/>
                <w:rtl/>
              </w:rPr>
              <w:t>תיקון סעיף 122</w:t>
            </w:r>
          </w:p>
        </w:tc>
        <w:tc>
          <w:tcPr>
            <w:tcW w:w="624" w:type="dxa"/>
          </w:tcPr>
          <w:p w14:paraId="6420F1D1" w14:textId="77777777" w:rsidR="003F2730" w:rsidRDefault="003F2730" w:rsidP="00E342A5">
            <w:pPr>
              <w:pStyle w:val="TableText"/>
              <w:keepLines w:val="0"/>
              <w:rPr>
                <w:rtl/>
              </w:rPr>
            </w:pPr>
            <w:r>
              <w:rPr>
                <w:rFonts w:hint="cs"/>
                <w:rtl/>
              </w:rPr>
              <w:t>3.</w:t>
            </w:r>
          </w:p>
        </w:tc>
        <w:tc>
          <w:tcPr>
            <w:tcW w:w="7146" w:type="dxa"/>
          </w:tcPr>
          <w:p w14:paraId="5EE9BD55" w14:textId="77777777" w:rsidR="003F2730" w:rsidRPr="00394CE8" w:rsidRDefault="003F2730" w:rsidP="00E342A5">
            <w:pPr>
              <w:pStyle w:val="TableBlock"/>
              <w:rPr>
                <w:rtl/>
              </w:rPr>
            </w:pPr>
            <w:r w:rsidRPr="00394CE8">
              <w:rPr>
                <w:rFonts w:hint="cs"/>
                <w:rtl/>
              </w:rPr>
              <w:t>בסעיף 122(ג) לחוק</w:t>
            </w:r>
            <w:r>
              <w:rPr>
                <w:rFonts w:hint="cs"/>
                <w:rtl/>
              </w:rPr>
              <w:t xml:space="preserve"> העיקרי</w:t>
            </w:r>
            <w:r w:rsidRPr="00394CE8">
              <w:rPr>
                <w:rFonts w:hint="cs"/>
                <w:rtl/>
              </w:rPr>
              <w:t xml:space="preserve">, אחרי "השר" יבוא "באישור ועדת העבודה </w:t>
            </w:r>
            <w:r>
              <w:rPr>
                <w:rFonts w:hint="cs"/>
                <w:rtl/>
              </w:rPr>
              <w:t>והרווחה</w:t>
            </w:r>
            <w:r w:rsidRPr="00394CE8">
              <w:rPr>
                <w:rFonts w:hint="cs"/>
                <w:rtl/>
              </w:rPr>
              <w:t>"</w:t>
            </w:r>
            <w:r>
              <w:rPr>
                <w:rFonts w:hint="cs"/>
                <w:rtl/>
              </w:rPr>
              <w:t>.</w:t>
            </w:r>
          </w:p>
        </w:tc>
      </w:tr>
    </w:tbl>
    <w:p w14:paraId="5DC28E18" w14:textId="77777777" w:rsidR="003F2730" w:rsidRDefault="003F2730" w:rsidP="003F2730">
      <w:pPr>
        <w:pStyle w:val="HeadDivreiHesber"/>
        <w:rPr>
          <w:rtl/>
        </w:rPr>
      </w:pPr>
      <w:r w:rsidRPr="0027450A">
        <w:rPr>
          <w:rFonts w:hint="cs"/>
          <w:rtl/>
        </w:rPr>
        <w:t>דברי הסבר</w:t>
      </w:r>
    </w:p>
    <w:p w14:paraId="0BD213CD" w14:textId="77777777" w:rsidR="003F2730" w:rsidRDefault="003F2730" w:rsidP="003F2730">
      <w:pPr>
        <w:pStyle w:val="Hesber"/>
      </w:pPr>
      <w:r>
        <w:rPr>
          <w:rFonts w:hint="cs"/>
          <w:rtl/>
        </w:rPr>
        <w:t xml:space="preserve">הצעת חוק זו נועדה לעודד שקיפות ולאפשר קיום דיון ציבורי בכל שינוי במבחנים לקביעת דרגת נכות, בדרכי חישוב דרגת הנכות ובמינוי יועץ שאינו רופא בהליך ערר. </w:t>
      </w:r>
    </w:p>
    <w:p w14:paraId="154E543A" w14:textId="77777777" w:rsidR="003F2730" w:rsidRDefault="003F2730" w:rsidP="003F2730">
      <w:pPr>
        <w:pStyle w:val="Hesber"/>
        <w:rPr>
          <w:rtl/>
        </w:rPr>
      </w:pPr>
      <w:r>
        <w:rPr>
          <w:rFonts w:hint="cs"/>
          <w:rtl/>
        </w:rPr>
        <w:t>כל זכאות לקבלת גמלה או פיצוי מהמוסד לביטוח לאומי בגין נכות, נבחנת על פי התוספת שבתקנות הביטוח הלאומי (קביעת דרגת נכות לנפגעי עבודה), התשט"ז–1956. כל שינוי בסעיפי הנכות שנקבעו בתוספת עשוי לשנות את זכאותם של עשרות אלפי נכים.</w:t>
      </w:r>
    </w:p>
    <w:p w14:paraId="7901E3BF" w14:textId="43A20BD0" w:rsidR="003F2730" w:rsidRDefault="003F2730" w:rsidP="003F2730">
      <w:pPr>
        <w:pStyle w:val="Hesber"/>
        <w:rPr>
          <w:rtl/>
        </w:rPr>
      </w:pPr>
      <w:r>
        <w:rPr>
          <w:rFonts w:hint="cs"/>
          <w:rtl/>
        </w:rPr>
        <w:t>כמו כן, מאחר שהמבחנים שבאותה תוספת  (המכונה "ספר הליקויים")  משמשים לקביעת דרגת נכות לעניינים רבים, לרבות נכות כללית, נכי נרדפי הנאצים ונפגעי עבודה, וכן משמשים גם לקביעת זכאות על ידי גורמים נוספים כגון חברות ביטוח ומס הכנסה אשר אימצו את סעיפי "ספר הליקויים" הנהוגים במוסד לביט</w:t>
      </w:r>
      <w:r w:rsidR="00CF30C6">
        <w:rPr>
          <w:rFonts w:hint="cs"/>
          <w:rtl/>
        </w:rPr>
        <w:t>וח לאומי, כל שינוי באותה תוספת</w:t>
      </w:r>
      <w:r>
        <w:rPr>
          <w:rFonts w:hint="cs"/>
          <w:rtl/>
        </w:rPr>
        <w:t xml:space="preserve"> עלול לגרום לפגיעה חמורה בציבור הנכים ובזכויותיהם.</w:t>
      </w:r>
    </w:p>
    <w:p w14:paraId="588B1CCF" w14:textId="77777777" w:rsidR="003F2730" w:rsidRDefault="003F2730" w:rsidP="003F2730">
      <w:pPr>
        <w:pStyle w:val="Hesber"/>
        <w:rPr>
          <w:rtl/>
        </w:rPr>
      </w:pPr>
      <w:r>
        <w:rPr>
          <w:rFonts w:hint="cs"/>
          <w:rtl/>
        </w:rPr>
        <w:t xml:space="preserve">על פי המצב החוקי כיום, שר העבודה, הרווחה והשירותים החברתיים (להלן – שר הרווחה) רשאי לשנות כל סעיף ב"ספר  הליקויים" שבתוספת האמורה, לאחר שהתייעץ עם שר הבריאות, ללא כל חובה </w:t>
      </w:r>
      <w:r>
        <w:rPr>
          <w:rFonts w:hint="cs"/>
          <w:rtl/>
        </w:rPr>
        <w:lastRenderedPageBreak/>
        <w:t>לקיים דיון ציבורי או לבחון את המשמעות של השינוי ביחס לזכויותיהם של נכים.</w:t>
      </w:r>
    </w:p>
    <w:p w14:paraId="6BDD05F1" w14:textId="77777777" w:rsidR="003F2730" w:rsidRDefault="003F2730" w:rsidP="003F2730">
      <w:pPr>
        <w:pStyle w:val="Hesber"/>
        <w:rPr>
          <w:rtl/>
        </w:rPr>
      </w:pPr>
      <w:r>
        <w:rPr>
          <w:rFonts w:hint="cs"/>
          <w:rtl/>
        </w:rPr>
        <w:t>כמו כן, שר הרווחה רשאי לקבוע הוראות מיוחדות בדבר חישוב דרגת הנכות במקרה של ליקוי או מום שהיו לפני או אחרי הפגיעה מעבודה, ואין להם קשר אליה, וכן לקבוע את דרכי מינויו של יועץ שאינו רפואי לשמש כפוסק בוועדה רפואית לעררים.</w:t>
      </w:r>
    </w:p>
    <w:p w14:paraId="1939D91A" w14:textId="77777777" w:rsidR="003F2730" w:rsidRPr="00394CE8" w:rsidRDefault="003F2730" w:rsidP="003F2730">
      <w:pPr>
        <w:pStyle w:val="Hesber"/>
        <w:rPr>
          <w:rtl/>
        </w:rPr>
      </w:pPr>
      <w:r>
        <w:rPr>
          <w:rFonts w:hint="cs"/>
          <w:rtl/>
        </w:rPr>
        <w:t xml:space="preserve">מצב זה מתקיים חרף החלטות ועדת העבודה, הרווחה והבריאות מיום  30 בדצמבר 2013, שבה קראה הוועדה להקמת </w:t>
      </w:r>
      <w:r w:rsidRPr="00394CE8">
        <w:rPr>
          <w:rFonts w:hint="cs"/>
          <w:rtl/>
        </w:rPr>
        <w:t>ועדה ציבורית לספר הליקויים בדומה לוועדת סל התרופות, אשר תורכב מאנשי מקצוע, אנשי ציבור ונציגי אנשים עם מוגבלות, בהתאם להתחייבות שר הרווחה לקיים התייעצות באשר לשינויים הנדונים:</w:t>
      </w:r>
    </w:p>
    <w:p w14:paraId="5B4A794F" w14:textId="77777777" w:rsidR="003F2730" w:rsidRPr="00394CE8" w:rsidRDefault="003F2730" w:rsidP="003F2730">
      <w:pPr>
        <w:pStyle w:val="Hesber"/>
        <w:rPr>
          <w:rtl/>
        </w:rPr>
      </w:pPr>
      <w:r w:rsidRPr="00394CE8">
        <w:rPr>
          <w:rFonts w:hint="cs"/>
          <w:rtl/>
        </w:rPr>
        <w:t>"הוועדה קוראת להקמת ועדה ציבורית לספר הליקויים בדומה לוועדת סל התרופות. זאת בהתאם להתחייבות של שר הרווחה לקיים התייעצות עם ארגוני אנשים עם מוגבלות באשר לשינויים בספר. הפורום יורכב מאנשי מקצוע, אנשי ציבור ונציגי אנשים עם מוגבלות.</w:t>
      </w:r>
    </w:p>
    <w:p w14:paraId="531CB4BF" w14:textId="77777777" w:rsidR="003F2730" w:rsidRPr="00394CE8" w:rsidRDefault="003F2730" w:rsidP="003F2730">
      <w:pPr>
        <w:pStyle w:val="Hesber"/>
        <w:rPr>
          <w:rtl/>
        </w:rPr>
      </w:pPr>
      <w:r w:rsidRPr="00394CE8">
        <w:rPr>
          <w:rFonts w:hint="cs"/>
          <w:rtl/>
        </w:rPr>
        <w:t>הוועדה תייצר שקיפות מול הציבור ותגביר את האמון במערכת בכלל ובמוסד לביטוח לאומי בפרט. כמו כן, הוועדה דורשת</w:t>
      </w:r>
      <w:r>
        <w:rPr>
          <w:rFonts w:hint="cs"/>
          <w:rtl/>
        </w:rPr>
        <w:t xml:space="preserve"> ש</w:t>
      </w:r>
      <w:r w:rsidRPr="00394CE8">
        <w:rPr>
          <w:rFonts w:hint="cs"/>
          <w:rtl/>
        </w:rPr>
        <w:t>לפני שיוכנסו השינויים בספר הליקויים החדש לתוקף יוציא המוסד לביטוח הלאומי תזכיר המפרט את השפעת השי</w:t>
      </w:r>
      <w:r>
        <w:rPr>
          <w:rFonts w:hint="cs"/>
          <w:rtl/>
        </w:rPr>
        <w:t>נויים בספר על המבוטחים וזכאותם</w:t>
      </w:r>
      <w:r w:rsidRPr="00394CE8">
        <w:rPr>
          <w:rFonts w:hint="cs"/>
          <w:rtl/>
        </w:rPr>
        <w:t>"</w:t>
      </w:r>
      <w:r>
        <w:rPr>
          <w:rFonts w:hint="cs"/>
          <w:rtl/>
        </w:rPr>
        <w:t>.</w:t>
      </w:r>
      <w:r w:rsidRPr="00394CE8" w:rsidDel="007E6158">
        <w:rPr>
          <w:rFonts w:hint="cs"/>
          <w:rtl/>
        </w:rPr>
        <w:t xml:space="preserve"> </w:t>
      </w:r>
    </w:p>
    <w:p w14:paraId="0F4EF68E" w14:textId="77777777" w:rsidR="003F2730" w:rsidRDefault="003F2730" w:rsidP="003F2730">
      <w:pPr>
        <w:pStyle w:val="Hesber"/>
        <w:rPr>
          <w:rtl/>
        </w:rPr>
      </w:pPr>
      <w:r>
        <w:rPr>
          <w:rFonts w:hint="cs"/>
          <w:rtl/>
        </w:rPr>
        <w:t xml:space="preserve">בשנים האחרונות אנו עדים לתיקונים רבים הפוגעים פגיעה חמורה בנכים, וידוע כי תיקונים נוספים נמצאים בהליך אישור. </w:t>
      </w:r>
    </w:p>
    <w:p w14:paraId="63556007" w14:textId="77777777" w:rsidR="003F2730" w:rsidRDefault="003F2730" w:rsidP="003F2730">
      <w:pPr>
        <w:pStyle w:val="Hesber"/>
        <w:rPr>
          <w:rtl/>
        </w:rPr>
      </w:pPr>
      <w:r>
        <w:rPr>
          <w:rFonts w:hint="cs"/>
          <w:rtl/>
        </w:rPr>
        <w:t>למרות הפצרות של רופאים, ארגוני נכים וועדת העבודה, הרווחה והבריאות של הכנסת, לא מביא המוסד לביטוח הלאומי את השינויים לדיון ציבורי וכך נוצרת פגיעה בפועל בזכויות החולים בכסות של עדכון ספר הליקויים עקב התקדמות הרפואה.</w:t>
      </w:r>
    </w:p>
    <w:p w14:paraId="5D51E075" w14:textId="77777777" w:rsidR="003F2730" w:rsidRDefault="003F2730" w:rsidP="003F2730">
      <w:pPr>
        <w:pStyle w:val="Hesber"/>
        <w:rPr>
          <w:rtl/>
        </w:rPr>
      </w:pPr>
      <w:r>
        <w:rPr>
          <w:rFonts w:hint="cs"/>
          <w:rtl/>
        </w:rPr>
        <w:t>על פי חוק הביטוח הלאומי [נוסח משולב], התשנ"ה–1995, חלק מהשינויים בחקיקת המשנה מחייבים את אישורה של ועדת העבודה, הרווחה והבריאות של הכנסת, ודווקא לגבי שינוי ב"ספר הליקויים" שהוא שינוי כה מהותי, שעומד בבסיס קביעת הזכאות לגמלאות נכות, לא חויב השר באישור ועדת העבודה הרווחה והבריאות.</w:t>
      </w:r>
    </w:p>
    <w:p w14:paraId="291CC245" w14:textId="77777777" w:rsidR="003F2730" w:rsidRDefault="003F2730" w:rsidP="003F2730">
      <w:pPr>
        <w:pStyle w:val="Hesber"/>
        <w:rPr>
          <w:rtl/>
        </w:rPr>
      </w:pPr>
      <w:r>
        <w:rPr>
          <w:rFonts w:hint="cs"/>
          <w:rtl/>
        </w:rPr>
        <w:t>הצעת חוק זו נועדה לשנות את המצב המתואר לעיל, כך ששר הרווחה יחויב להציג כל הצעה לשינוי החוק בפני ועדת העבודה, הרווחה והבריאות ולקבל את אישורה בטרם פרסום תקנות חדשות.</w:t>
      </w:r>
    </w:p>
    <w:p w14:paraId="4F559BC5" w14:textId="77777777" w:rsidR="003F2730" w:rsidRDefault="003F2730" w:rsidP="003F2730">
      <w:pPr>
        <w:pStyle w:val="Hesber"/>
        <w:rPr>
          <w:rtl/>
        </w:rPr>
      </w:pPr>
      <w:r>
        <w:rPr>
          <w:rFonts w:hint="cs"/>
          <w:rtl/>
        </w:rPr>
        <w:t>הצעת החוק נוסחה בסיוע ועדת ביטוח לאומי של לשכת עורכי הדין.</w:t>
      </w:r>
    </w:p>
    <w:p w14:paraId="2245B214" w14:textId="77777777" w:rsidR="003F2730" w:rsidRDefault="003F2730" w:rsidP="003F2730">
      <w:pPr>
        <w:pStyle w:val="Hesber"/>
        <w:rPr>
          <w:rtl/>
        </w:rPr>
      </w:pPr>
      <w:r>
        <w:rPr>
          <w:rFonts w:hint="cs"/>
          <w:rtl/>
        </w:rPr>
        <w:t xml:space="preserve">הצעות חוק דומות בעיקרן הונחו </w:t>
      </w:r>
      <w:r>
        <w:rPr>
          <w:rtl/>
        </w:rPr>
        <w:t xml:space="preserve">על שולחן הכנסת התשע-עשרה על ידי חבר הכנסת אורי מקלב וקבוצת חברי </w:t>
      </w:r>
      <w:r>
        <w:rPr>
          <w:rFonts w:hint="cs"/>
          <w:rtl/>
        </w:rPr>
        <w:t>ה</w:t>
      </w:r>
      <w:r>
        <w:rPr>
          <w:rtl/>
        </w:rPr>
        <w:t>כנסת (פ/1282/19</w:t>
      </w:r>
      <w:r>
        <w:rPr>
          <w:rFonts w:hint="cs"/>
          <w:rtl/>
        </w:rPr>
        <w:t xml:space="preserve">; </w:t>
      </w:r>
      <w:r>
        <w:rPr>
          <w:rtl/>
        </w:rPr>
        <w:t>הוסרה מסדר היום ביום ח' בטבת התשע"ד (11 בדצמבר 2013))</w:t>
      </w:r>
      <w:r>
        <w:rPr>
          <w:rFonts w:hint="cs"/>
          <w:rtl/>
        </w:rPr>
        <w:t>, על שולחן הכנסת העשרים על ידי חברי הכנסת אורי מקלב ומשה גפני (פ/868/20), על שולחן הכנסת העשרים ושתיים על ידי חבר הכנסת אורי מקלב וקבוצת חברי הכנסת (</w:t>
      </w:r>
      <w:r w:rsidRPr="00A458FA">
        <w:rPr>
          <w:rtl/>
        </w:rPr>
        <w:t>פ/861/22</w:t>
      </w:r>
      <w:r>
        <w:rPr>
          <w:rFonts w:hint="cs"/>
          <w:rtl/>
        </w:rPr>
        <w:t>), ועל שולחן הכנסת העשרים ושלוש על ידי חברי הכנסת משה גפני ויעקב אשר (</w:t>
      </w:r>
      <w:r w:rsidRPr="00A458FA">
        <w:rPr>
          <w:rtl/>
        </w:rPr>
        <w:t>פ/1301/23</w:t>
      </w:r>
      <w:r>
        <w:rPr>
          <w:rFonts w:hint="cs"/>
          <w:rtl/>
        </w:rPr>
        <w:t>).</w:t>
      </w:r>
    </w:p>
    <w:p w14:paraId="66CD771D" w14:textId="77777777" w:rsidR="003F2730" w:rsidRDefault="003F2730" w:rsidP="003F2730">
      <w:pPr>
        <w:pStyle w:val="Hesber"/>
        <w:rPr>
          <w:rtl/>
        </w:rPr>
      </w:pPr>
      <w:r>
        <w:rPr>
          <w:rFonts w:hint="cs"/>
          <w:rtl/>
        </w:rPr>
        <w:t>הצעת חוק זהה הונחה על שולחן הכנסת העשרים על ידי חבר הכנסת איציק שמולי וקבוצת חברי כנסת (פ/4178/20).</w:t>
      </w:r>
    </w:p>
    <w:p w14:paraId="1E3C20CB" w14:textId="77777777" w:rsidR="00750A87" w:rsidRPr="00D73212" w:rsidRDefault="00750A87" w:rsidP="00750A87">
      <w:pPr>
        <w:pStyle w:val="Hesber"/>
        <w:ind w:firstLine="0"/>
        <w:rPr>
          <w:color w:val="auto"/>
          <w:rtl/>
          <w:lang w:eastAsia="en-US"/>
        </w:rPr>
      </w:pPr>
      <w:r w:rsidRPr="00D73212">
        <w:rPr>
          <w:color w:val="auto"/>
          <w:rtl/>
          <w:lang w:eastAsia="en-US"/>
        </w:rPr>
        <w:t>---------------------------------</w:t>
      </w:r>
    </w:p>
    <w:p w14:paraId="03C2E118" w14:textId="77777777" w:rsidR="00750A87" w:rsidRPr="00D73212" w:rsidRDefault="00750A87" w:rsidP="00750A87">
      <w:pPr>
        <w:pStyle w:val="Hesber"/>
        <w:ind w:firstLine="0"/>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664204EC" w14:textId="77777777" w:rsidR="00750A87" w:rsidRPr="00D73212" w:rsidRDefault="00750A87" w:rsidP="00750A87">
      <w:pPr>
        <w:pStyle w:val="Hesber"/>
        <w:ind w:firstLine="0"/>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7F6961CB" w14:textId="2360FA7D" w:rsidR="00E13C27" w:rsidRDefault="00750A87" w:rsidP="00750A87">
      <w:pPr>
        <w:pStyle w:val="Hesber"/>
        <w:ind w:firstLine="0"/>
        <w:rPr>
          <w:rtl/>
        </w:rPr>
      </w:pPr>
      <w:r>
        <w:rPr>
          <w:rFonts w:hint="cs"/>
          <w:color w:val="auto"/>
          <w:rtl/>
          <w:lang w:eastAsia="en-US"/>
        </w:rPr>
        <w:t>כ"א</w:t>
      </w:r>
      <w:r w:rsidRPr="005633C9">
        <w:rPr>
          <w:color w:val="auto"/>
          <w:rtl/>
          <w:lang w:eastAsia="en-US"/>
        </w:rPr>
        <w:t xml:space="preserve"> ב</w:t>
      </w:r>
      <w:r>
        <w:rPr>
          <w:rFonts w:hint="cs"/>
          <w:color w:val="auto"/>
          <w:rtl/>
          <w:lang w:eastAsia="en-US"/>
        </w:rPr>
        <w:t>כסלו</w:t>
      </w:r>
      <w:r w:rsidRPr="005633C9">
        <w:rPr>
          <w:color w:val="auto"/>
          <w:rtl/>
          <w:lang w:eastAsia="en-US"/>
        </w:rPr>
        <w:t xml:space="preserve"> התש</w:t>
      </w:r>
      <w:r>
        <w:rPr>
          <w:rFonts w:hint="cs"/>
          <w:color w:val="auto"/>
          <w:rtl/>
          <w:lang w:eastAsia="en-US"/>
        </w:rPr>
        <w:t>פ"א</w:t>
      </w:r>
      <w:r w:rsidRPr="005633C9">
        <w:rPr>
          <w:color w:val="auto"/>
          <w:rtl/>
          <w:lang w:eastAsia="en-US"/>
        </w:rPr>
        <w:t xml:space="preserve"> </w:t>
      </w:r>
      <w:r>
        <w:rPr>
          <w:rFonts w:hint="cs"/>
          <w:color w:val="auto"/>
          <w:rtl/>
          <w:lang w:eastAsia="en-US"/>
        </w:rPr>
        <w:t>–</w:t>
      </w:r>
      <w:r w:rsidRPr="005633C9">
        <w:rPr>
          <w:color w:val="auto"/>
          <w:rtl/>
          <w:lang w:eastAsia="en-US"/>
        </w:rPr>
        <w:t xml:space="preserve"> </w:t>
      </w:r>
      <w:r>
        <w:rPr>
          <w:rFonts w:hint="cs"/>
          <w:color w:val="auto"/>
          <w:rtl/>
          <w:lang w:eastAsia="en-US"/>
        </w:rPr>
        <w:t>7</w:t>
      </w:r>
      <w:r w:rsidRPr="005633C9">
        <w:rPr>
          <w:color w:val="auto"/>
          <w:rtl/>
          <w:lang w:eastAsia="en-US"/>
        </w:rPr>
        <w:t>.</w:t>
      </w:r>
      <w:r>
        <w:rPr>
          <w:rFonts w:hint="cs"/>
          <w:color w:val="auto"/>
          <w:rtl/>
          <w:lang w:eastAsia="en-US"/>
        </w:rPr>
        <w:t>12</w:t>
      </w:r>
      <w:r w:rsidRPr="005633C9">
        <w:rPr>
          <w:color w:val="auto"/>
          <w:rtl/>
          <w:lang w:eastAsia="en-US"/>
        </w:rPr>
        <w:t>.20</w:t>
      </w:r>
      <w:bookmarkStart w:id="6" w:name="_GoBack"/>
      <w:bookmarkEnd w:id="6"/>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750A87">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31E3D91" w14:textId="77777777" w:rsidR="003F2730" w:rsidRDefault="003F2730" w:rsidP="003F2730">
      <w:pPr>
        <w:pStyle w:val="a4"/>
        <w:rPr>
          <w:rFonts w:ascii="David" w:hAnsi="David"/>
          <w:sz w:val="20"/>
        </w:rPr>
      </w:pPr>
      <w:r>
        <w:rPr>
          <w:rStyle w:val="a6"/>
          <w:rFonts w:ascii="David" w:hAnsi="David"/>
        </w:rPr>
        <w:footnoteRef/>
      </w:r>
      <w:r>
        <w:rPr>
          <w:rFonts w:hint="cs"/>
          <w:rtl/>
        </w:rPr>
        <w:t xml:space="preserve"> ס"ח התשנ"ה, עמ' 210.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3F273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4BBB"/>
    <w:rsid w:val="0062674B"/>
    <w:rsid w:val="006363B2"/>
    <w:rsid w:val="00644940"/>
    <w:rsid w:val="006818A9"/>
    <w:rsid w:val="006A2D81"/>
    <w:rsid w:val="006C1D0D"/>
    <w:rsid w:val="0070601E"/>
    <w:rsid w:val="00712C72"/>
    <w:rsid w:val="00731DE0"/>
    <w:rsid w:val="00735FE9"/>
    <w:rsid w:val="00750A87"/>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4FA6"/>
    <w:rsid w:val="009456B6"/>
    <w:rsid w:val="00957589"/>
    <w:rsid w:val="00966D06"/>
    <w:rsid w:val="00982412"/>
    <w:rsid w:val="00983A8D"/>
    <w:rsid w:val="009A0DB8"/>
    <w:rsid w:val="009A7257"/>
    <w:rsid w:val="009D6E0A"/>
    <w:rsid w:val="009E1E33"/>
    <w:rsid w:val="00A14672"/>
    <w:rsid w:val="00A26BD6"/>
    <w:rsid w:val="00A443CF"/>
    <w:rsid w:val="00A458FA"/>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CF30C6"/>
    <w:rsid w:val="00D142D3"/>
    <w:rsid w:val="00D17774"/>
    <w:rsid w:val="00D63620"/>
    <w:rsid w:val="00D8410D"/>
    <w:rsid w:val="00D867D7"/>
    <w:rsid w:val="00DB7060"/>
    <w:rsid w:val="00DE3153"/>
    <w:rsid w:val="00E06736"/>
    <w:rsid w:val="00E13C27"/>
    <w:rsid w:val="00E33BBD"/>
    <w:rsid w:val="00E374F2"/>
    <w:rsid w:val="00E45103"/>
    <w:rsid w:val="00E55A60"/>
    <w:rsid w:val="00E55FCA"/>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4C0D6D32-B7C9-431D-ACB5-9B978C38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uiPriority w:val="99"/>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semiHidden/>
    <w:rsid w:val="00731DE0"/>
    <w:rPr>
      <w:rFonts w:ascii="Arial" w:eastAsia="Arial Unicode MS" w:hAnsi="Arial" w:cs="David"/>
      <w:snapToGrid w:val="0"/>
      <w:color w:val="000000"/>
      <w:sz w:val="14"/>
      <w:lang w:eastAsia="ja-JP"/>
    </w:rPr>
  </w:style>
  <w:style w:type="character" w:styleId="ae">
    <w:name w:val="annotation reference"/>
    <w:basedOn w:val="a0"/>
    <w:semiHidden/>
    <w:unhideWhenUsed/>
    <w:rsid w:val="00624BBB"/>
    <w:rPr>
      <w:sz w:val="16"/>
      <w:szCs w:val="16"/>
    </w:rPr>
  </w:style>
  <w:style w:type="paragraph" w:styleId="af">
    <w:name w:val="annotation text"/>
    <w:basedOn w:val="a"/>
    <w:link w:val="af0"/>
    <w:semiHidden/>
    <w:unhideWhenUsed/>
    <w:rsid w:val="00624BBB"/>
    <w:pPr>
      <w:spacing w:line="240" w:lineRule="auto"/>
    </w:pPr>
    <w:rPr>
      <w:sz w:val="20"/>
      <w:szCs w:val="20"/>
    </w:rPr>
  </w:style>
  <w:style w:type="character" w:customStyle="1" w:styleId="af0">
    <w:name w:val="טקסט הערה תו"/>
    <w:basedOn w:val="a0"/>
    <w:link w:val="af"/>
    <w:semiHidden/>
    <w:rsid w:val="00624BBB"/>
    <w:rPr>
      <w:rFonts w:ascii="Hadasa Roso SL" w:hAnsi="Hadasa Roso SL" w:cs="Hadasa Roso SL"/>
      <w:color w:val="000000"/>
      <w:spacing w:val="1"/>
      <w:lang w:eastAsia="ja-JP"/>
    </w:rPr>
  </w:style>
  <w:style w:type="paragraph" w:styleId="af1">
    <w:name w:val="annotation subject"/>
    <w:basedOn w:val="af"/>
    <w:next w:val="af"/>
    <w:link w:val="af2"/>
    <w:semiHidden/>
    <w:unhideWhenUsed/>
    <w:rsid w:val="00624BBB"/>
    <w:rPr>
      <w:b/>
      <w:bCs/>
    </w:rPr>
  </w:style>
  <w:style w:type="character" w:customStyle="1" w:styleId="af2">
    <w:name w:val="נושא הערה תו"/>
    <w:basedOn w:val="af0"/>
    <w:link w:val="af1"/>
    <w:semiHidden/>
    <w:rsid w:val="00624BBB"/>
    <w:rPr>
      <w:rFonts w:ascii="Hadasa Roso SL" w:hAnsi="Hadasa Roso SL" w:cs="Hadasa Roso SL"/>
      <w:b/>
      <w:bCs/>
      <w:color w:val="000000"/>
      <w:spacing w:val="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9191f7e1bb085ece6465964dba42d442">
  <xsd:schema xmlns:xsd="http://www.w3.org/2001/XMLSchema" xmlns:xs="http://www.w3.org/2001/XMLSchema" xmlns:p="http://schemas.microsoft.com/office/2006/metadata/properties" xmlns:ns2="290d5b49-c690-4c6f-bbb9-1e50dab33eee" targetNamespace="http://schemas.microsoft.com/office/2006/metadata/properties" ma:root="true" ma:fieldsID="fb4ed97e084053ed652bcef757b4ab45"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F89CBFCC-D1E1-494A-A3B2-4ABD25D4C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01C896-697D-4A05-BE16-E6C843A3B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604</Words>
  <Characters>3443</Characters>
  <Application>Microsoft Office Word</Application>
  <DocSecurity>0</DocSecurity>
  <Lines>28</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8</cp:revision>
  <cp:lastPrinted>2020-12-03T08:39:00Z</cp:lastPrinted>
  <dcterms:created xsi:type="dcterms:W3CDTF">2015-04-20T09:58:00Z</dcterms:created>
  <dcterms:modified xsi:type="dcterms:W3CDTF">2020-12-03T08:40:00Z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2148662</vt:r8>
  </property>
</Properties>
</file>