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2149972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A" w14:textId="4E5825BB" w:rsidR="00E13C27" w:rsidRPr="00CF1AA2" w:rsidRDefault="008F6665" w:rsidP="00125C82">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אבי דיכטר</w:t>
      </w:r>
      <w:r>
        <w:br/>
      </w:r>
      <w:r>
        <w:rPr>
          <w:rFonts w:hint="cs"/>
          <w:b/>
          <w:bCs/>
          <w:rtl/>
        </w:rPr>
        <w:t xml:space="preserve"> </w:t>
      </w:r>
      <w:r>
        <w:tab/>
      </w:r>
      <w:r>
        <w:tab/>
      </w:r>
      <w:r>
        <w:tab/>
      </w:r>
      <w:r>
        <w:tab/>
      </w:r>
      <w:r>
        <w:rPr>
          <w:rFonts w:hint="cs"/>
          <w:b/>
          <w:bCs/>
          <w:rtl/>
        </w:rPr>
        <w:t>יואב סגלוביץ'</w:t>
      </w:r>
      <w:r>
        <w:br/>
      </w:r>
      <w:r>
        <w:rPr>
          <w:rFonts w:hint="cs"/>
          <w:b/>
          <w:bCs/>
          <w:rtl/>
        </w:rPr>
        <w:t xml:space="preserve"> </w:t>
      </w:r>
      <w:r>
        <w:tab/>
      </w:r>
      <w:r>
        <w:tab/>
      </w:r>
      <w:r>
        <w:tab/>
      </w:r>
      <w:r>
        <w:tab/>
      </w:r>
      <w:r>
        <w:rPr>
          <w:rFonts w:hint="cs"/>
          <w:b/>
          <w:bCs/>
          <w:rtl/>
        </w:rPr>
        <w:t>ניר ברקת</w:t>
      </w:r>
      <w:r>
        <w:br/>
      </w:r>
      <w:r>
        <w:rPr>
          <w:rFonts w:hint="cs"/>
          <w:b/>
          <w:bCs/>
          <w:rtl/>
        </w:rPr>
        <w:t xml:space="preserve"> </w:t>
      </w:r>
      <w:r>
        <w:tab/>
      </w:r>
      <w:r>
        <w:tab/>
      </w:r>
      <w:r>
        <w:tab/>
      </w:r>
      <w:r>
        <w:tab/>
      </w:r>
      <w:r>
        <w:rPr>
          <w:rFonts w:hint="cs"/>
          <w:b/>
          <w:bCs/>
          <w:rtl/>
        </w:rPr>
        <w:t>מתן כהנא</w:t>
      </w:r>
      <w:r>
        <w:br/>
      </w:r>
      <w:r>
        <w:rPr>
          <w:rFonts w:hint="cs"/>
          <w:b/>
          <w:bCs/>
          <w:rtl/>
        </w:rPr>
        <w:t xml:space="preserve"> </w:t>
      </w:r>
      <w:r>
        <w:tab/>
      </w:r>
      <w:r>
        <w:tab/>
      </w:r>
      <w:r>
        <w:tab/>
      </w:r>
      <w:r>
        <w:tab/>
      </w:r>
      <w:r>
        <w:rPr>
          <w:rFonts w:hint="cs"/>
          <w:b/>
          <w:bCs/>
          <w:rtl/>
        </w:rPr>
        <w:t>אוריאל בוסו</w:t>
      </w:r>
      <w:r>
        <w:br/>
      </w:r>
      <w:r>
        <w:rPr>
          <w:rFonts w:hint="cs"/>
          <w:b/>
          <w:bCs/>
          <w:rtl/>
        </w:rPr>
        <w:t xml:space="preserve"> </w:t>
      </w:r>
      <w:r>
        <w:tab/>
      </w:r>
      <w:r>
        <w:tab/>
      </w:r>
      <w:r>
        <w:tab/>
      </w:r>
      <w:r>
        <w:tab/>
      </w:r>
      <w:r>
        <w:rPr>
          <w:rFonts w:hint="cs"/>
          <w:b/>
          <w:bCs/>
          <w:rtl/>
        </w:rPr>
        <w:t>סמי אבו שחאדה</w:t>
      </w:r>
      <w:r>
        <w:br/>
      </w:r>
      <w:r>
        <w:rPr>
          <w:rFonts w:hint="cs"/>
          <w:b/>
          <w:bCs/>
          <w:rtl/>
        </w:rPr>
        <w:t xml:space="preserve"> </w:t>
      </w:r>
      <w:r>
        <w:tab/>
      </w:r>
      <w:r>
        <w:tab/>
      </w:r>
      <w:r>
        <w:tab/>
      </w:r>
      <w:r>
        <w:tab/>
      </w:r>
      <w:r>
        <w:rPr>
          <w:rFonts w:hint="cs"/>
          <w:b/>
          <w:bCs/>
          <w:rtl/>
        </w:rPr>
        <w:t>רם שפע</w:t>
      </w:r>
      <w:r>
        <w:br/>
      </w:r>
      <w:r>
        <w:rPr>
          <w:rFonts w:hint="cs"/>
          <w:b/>
          <w:bCs/>
          <w:rtl/>
        </w:rPr>
        <w:t xml:space="preserve"> </w:t>
      </w:r>
      <w:r>
        <w:tab/>
      </w:r>
      <w:r>
        <w:tab/>
      </w:r>
      <w:r>
        <w:tab/>
      </w:r>
      <w:r>
        <w:tab/>
      </w:r>
      <w:r>
        <w:rPr>
          <w:rFonts w:hint="cs"/>
          <w:b/>
          <w:bCs/>
          <w:rtl/>
        </w:rPr>
        <w:t>עמית הלוי</w:t>
      </w:r>
      <w:bookmarkStart w:id="4" w:name="LGS_Join_List"/>
      <w:bookmarkStart w:id="5" w:name="_GoBack"/>
      <w:bookmarkEnd w:id="3"/>
      <w:bookmarkEnd w:id="5"/>
      <w:r w:rsidR="007D585A">
        <w:rPr>
          <w:rtl/>
        </w:rPr>
        <w:t xml:space="preserve"> </w:t>
      </w:r>
      <w:bookmarkEnd w:id="4"/>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פ/2491/23</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66E7500F" w:rsidR="00E13C27" w:rsidRPr="00F67051" w:rsidRDefault="00A443CF" w:rsidP="00872699">
      <w:pPr>
        <w:pStyle w:val="HeadHatzaotHok"/>
        <w:rPr>
          <w:rtl/>
        </w:rPr>
      </w:pPr>
      <w:bookmarkStart w:id="8" w:name="LGS_Subject"/>
      <w:r>
        <w:rPr>
          <w:rFonts w:hint="cs"/>
          <w:rtl/>
        </w:rPr>
        <w:t xml:space="preserve">הצעת חוק קרן לאזרחי ישראל (תיקון </w:t>
      </w:r>
      <w:r w:rsidR="00872699">
        <w:rPr>
          <w:rFonts w:hint="eastAsia"/>
          <w:rtl/>
        </w:rPr>
        <w:t>–</w:t>
      </w:r>
      <w:r>
        <w:rPr>
          <w:rFonts w:hint="cs"/>
          <w:rtl/>
        </w:rPr>
        <w:t xml:space="preserve"> הרכב ועדת האיתור ומועד תחילת החוק), התשפ"א</w:t>
      </w:r>
      <w:r w:rsidR="00872699">
        <w:rPr>
          <w:rFonts w:hint="eastAsia"/>
          <w:rtl/>
        </w:rPr>
        <w:t>–</w:t>
      </w:r>
      <w:r>
        <w:rPr>
          <w:rFonts w:hint="cs"/>
          <w:rtl/>
        </w:rPr>
        <w:t>2020</w:t>
      </w:r>
      <w:bookmarkEnd w:id="8"/>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DD71DF" w:rsidRPr="00C34DE2" w14:paraId="770D6F16" w14:textId="77777777" w:rsidTr="00DD71DF">
        <w:trPr>
          <w:cantSplit/>
          <w:trHeight w:val="60"/>
        </w:trPr>
        <w:tc>
          <w:tcPr>
            <w:tcW w:w="1871" w:type="dxa"/>
          </w:tcPr>
          <w:p w14:paraId="6E274D99" w14:textId="77777777" w:rsidR="00DD71DF" w:rsidRDefault="00DD71DF" w:rsidP="002F7719">
            <w:pPr>
              <w:pStyle w:val="TableSideHeading"/>
              <w:keepLines w:val="0"/>
            </w:pPr>
            <w:r>
              <w:rPr>
                <w:rFonts w:hint="cs"/>
                <w:rtl/>
              </w:rPr>
              <w:t>תיקון סעיף 5</w:t>
            </w:r>
          </w:p>
        </w:tc>
        <w:tc>
          <w:tcPr>
            <w:tcW w:w="624" w:type="dxa"/>
          </w:tcPr>
          <w:p w14:paraId="74D8E1C3" w14:textId="77777777" w:rsidR="00DD71DF" w:rsidRDefault="00DD71DF" w:rsidP="00DD71DF">
            <w:pPr>
              <w:pStyle w:val="TableText"/>
              <w:keepLines w:val="0"/>
            </w:pPr>
            <w:r>
              <w:rPr>
                <w:rFonts w:hint="cs"/>
                <w:rtl/>
              </w:rPr>
              <w:t>1.</w:t>
            </w:r>
          </w:p>
        </w:tc>
        <w:tc>
          <w:tcPr>
            <w:tcW w:w="7146" w:type="dxa"/>
          </w:tcPr>
          <w:p w14:paraId="3F59E75B" w14:textId="77777777" w:rsidR="00DD71DF" w:rsidRPr="00C34DE2" w:rsidRDefault="00DD71DF" w:rsidP="002F7719">
            <w:pPr>
              <w:pStyle w:val="TableBlock"/>
              <w:keepLines w:val="0"/>
            </w:pPr>
            <w:r>
              <w:rPr>
                <w:rFonts w:hint="cs"/>
                <w:rtl/>
              </w:rPr>
              <w:t>בחוק קרן לאזרחי ישראל, התשע"ד</w:t>
            </w:r>
            <w:r>
              <w:rPr>
                <w:rFonts w:hint="eastAsia"/>
                <w:rtl/>
              </w:rPr>
              <w:t>–</w:t>
            </w:r>
            <w:r>
              <w:rPr>
                <w:rFonts w:hint="cs"/>
                <w:rtl/>
              </w:rPr>
              <w:t>2014</w:t>
            </w:r>
            <w:r w:rsidRPr="00125C82">
              <w:rPr>
                <w:rStyle w:val="a6"/>
                <w:sz w:val="24"/>
                <w:szCs w:val="24"/>
                <w:rtl/>
              </w:rPr>
              <w:footnoteReference w:id="2"/>
            </w:r>
            <w:r w:rsidRPr="00125C82">
              <w:rPr>
                <w:rFonts w:hint="cs"/>
                <w:sz w:val="24"/>
                <w:szCs w:val="24"/>
                <w:vertAlign w:val="superscript"/>
                <w:rtl/>
              </w:rPr>
              <w:t xml:space="preserve"> </w:t>
            </w:r>
            <w:r>
              <w:rPr>
                <w:rFonts w:hint="cs"/>
                <w:rtl/>
              </w:rPr>
              <w:t xml:space="preserve">(להלן </w:t>
            </w:r>
            <w:r>
              <w:rPr>
                <w:rtl/>
              </w:rPr>
              <w:t>–</w:t>
            </w:r>
            <w:r>
              <w:rPr>
                <w:rFonts w:hint="cs"/>
                <w:rtl/>
              </w:rPr>
              <w:t xml:space="preserve"> החוק העיקרי), בסעיף 5(א) </w:t>
            </w:r>
            <w:r>
              <w:rPr>
                <w:rtl/>
              </w:rPr>
              <w:t>–</w:t>
            </w:r>
            <w:r>
              <w:rPr>
                <w:rFonts w:hint="cs"/>
                <w:rtl/>
              </w:rPr>
              <w:t xml:space="preserve"> </w:t>
            </w:r>
          </w:p>
        </w:tc>
      </w:tr>
      <w:tr w:rsidR="00DD71DF" w14:paraId="0FB142AE" w14:textId="77777777" w:rsidTr="00DD71DF">
        <w:trPr>
          <w:cantSplit/>
          <w:trHeight w:val="60"/>
        </w:trPr>
        <w:tc>
          <w:tcPr>
            <w:tcW w:w="1871" w:type="dxa"/>
          </w:tcPr>
          <w:p w14:paraId="596BA7CF" w14:textId="77777777" w:rsidR="00DD71DF" w:rsidRDefault="00DD71DF" w:rsidP="002F7719">
            <w:pPr>
              <w:pStyle w:val="TableSideHeading"/>
              <w:keepLines w:val="0"/>
              <w:rPr>
                <w:rtl/>
              </w:rPr>
            </w:pPr>
          </w:p>
        </w:tc>
        <w:tc>
          <w:tcPr>
            <w:tcW w:w="624" w:type="dxa"/>
          </w:tcPr>
          <w:p w14:paraId="1211A41E" w14:textId="77777777" w:rsidR="00DD71DF" w:rsidRDefault="00DD71DF" w:rsidP="00DD71DF">
            <w:pPr>
              <w:pStyle w:val="TableText"/>
              <w:keepLines w:val="0"/>
              <w:rPr>
                <w:rtl/>
              </w:rPr>
            </w:pPr>
          </w:p>
        </w:tc>
        <w:tc>
          <w:tcPr>
            <w:tcW w:w="7146" w:type="dxa"/>
          </w:tcPr>
          <w:p w14:paraId="49D1C64D" w14:textId="77777777" w:rsidR="00DD71DF" w:rsidRDefault="00DD71DF" w:rsidP="002F7719">
            <w:pPr>
              <w:pStyle w:val="TableBlock"/>
              <w:keepLines w:val="0"/>
              <w:rPr>
                <w:rtl/>
              </w:rPr>
            </w:pPr>
            <w:r>
              <w:rPr>
                <w:rFonts w:hint="cs"/>
                <w:rtl/>
              </w:rPr>
              <w:t>(1)</w:t>
            </w:r>
            <w:r>
              <w:rPr>
                <w:rtl/>
              </w:rPr>
              <w:tab/>
            </w:r>
            <w:r>
              <w:rPr>
                <w:rFonts w:hint="cs"/>
                <w:rtl/>
              </w:rPr>
              <w:t>בפסקה (2), בסופה יבוא "או עובד המדינה בכיר מקרב עובדי משרדו שהוא מינה לעניין זה";</w:t>
            </w:r>
          </w:p>
        </w:tc>
      </w:tr>
      <w:tr w:rsidR="00DD71DF" w14:paraId="2F18D8F9" w14:textId="77777777" w:rsidTr="00DD71DF">
        <w:trPr>
          <w:cantSplit/>
          <w:trHeight w:val="60"/>
        </w:trPr>
        <w:tc>
          <w:tcPr>
            <w:tcW w:w="1871" w:type="dxa"/>
          </w:tcPr>
          <w:p w14:paraId="1E57C45C" w14:textId="77777777" w:rsidR="00DD71DF" w:rsidRDefault="00DD71DF" w:rsidP="002F7719">
            <w:pPr>
              <w:pStyle w:val="TableSideHeading"/>
              <w:keepLines w:val="0"/>
              <w:rPr>
                <w:rtl/>
              </w:rPr>
            </w:pPr>
          </w:p>
        </w:tc>
        <w:tc>
          <w:tcPr>
            <w:tcW w:w="624" w:type="dxa"/>
          </w:tcPr>
          <w:p w14:paraId="2814CB46" w14:textId="77777777" w:rsidR="00DD71DF" w:rsidRDefault="00DD71DF" w:rsidP="00DD71DF">
            <w:pPr>
              <w:pStyle w:val="TableText"/>
              <w:keepLines w:val="0"/>
              <w:rPr>
                <w:rtl/>
              </w:rPr>
            </w:pPr>
          </w:p>
        </w:tc>
        <w:tc>
          <w:tcPr>
            <w:tcW w:w="7146" w:type="dxa"/>
          </w:tcPr>
          <w:p w14:paraId="40C70BB4" w14:textId="77777777" w:rsidR="00DD71DF" w:rsidRDefault="00DD71DF" w:rsidP="002F7719">
            <w:pPr>
              <w:pStyle w:val="TableBlock"/>
              <w:keepLines w:val="0"/>
              <w:rPr>
                <w:rtl/>
              </w:rPr>
            </w:pPr>
            <w:r>
              <w:rPr>
                <w:rFonts w:hint="cs"/>
                <w:rtl/>
              </w:rPr>
              <w:t>(2)</w:t>
            </w:r>
            <w:r>
              <w:rPr>
                <w:rtl/>
              </w:rPr>
              <w:tab/>
            </w:r>
            <w:r>
              <w:rPr>
                <w:rFonts w:hint="cs"/>
                <w:rtl/>
              </w:rPr>
              <w:t>בפסקה (3), בסופה יבוא "או עובד המדינה בכיר מקרב עובדי משרדו שהוא מינה לעניין זה".</w:t>
            </w:r>
          </w:p>
        </w:tc>
      </w:tr>
      <w:tr w:rsidR="00DD71DF" w14:paraId="51996513" w14:textId="77777777" w:rsidTr="00DD71DF">
        <w:trPr>
          <w:cantSplit/>
          <w:trHeight w:val="60"/>
        </w:trPr>
        <w:tc>
          <w:tcPr>
            <w:tcW w:w="1871" w:type="dxa"/>
          </w:tcPr>
          <w:p w14:paraId="6748A777" w14:textId="77777777" w:rsidR="00DD71DF" w:rsidRDefault="00DD71DF" w:rsidP="002F7719">
            <w:pPr>
              <w:pStyle w:val="TableSideHeading"/>
              <w:keepLines w:val="0"/>
              <w:rPr>
                <w:rtl/>
              </w:rPr>
            </w:pPr>
            <w:r>
              <w:rPr>
                <w:rFonts w:hint="cs"/>
                <w:rtl/>
              </w:rPr>
              <w:t>תיקון סעיף 47</w:t>
            </w:r>
          </w:p>
        </w:tc>
        <w:tc>
          <w:tcPr>
            <w:tcW w:w="624" w:type="dxa"/>
          </w:tcPr>
          <w:p w14:paraId="694D665B" w14:textId="77777777" w:rsidR="00DD71DF" w:rsidRDefault="00DD71DF" w:rsidP="00DD71DF">
            <w:pPr>
              <w:pStyle w:val="TableText"/>
              <w:keepLines w:val="0"/>
              <w:rPr>
                <w:rtl/>
              </w:rPr>
            </w:pPr>
            <w:r>
              <w:rPr>
                <w:rFonts w:hint="cs"/>
                <w:rtl/>
              </w:rPr>
              <w:t>2.</w:t>
            </w:r>
          </w:p>
        </w:tc>
        <w:tc>
          <w:tcPr>
            <w:tcW w:w="7146" w:type="dxa"/>
          </w:tcPr>
          <w:p w14:paraId="595CA100" w14:textId="77777777" w:rsidR="00DD71DF" w:rsidRDefault="00DD71DF" w:rsidP="002F7719">
            <w:pPr>
              <w:pStyle w:val="TableBlock"/>
              <w:keepLines w:val="0"/>
              <w:rPr>
                <w:rtl/>
              </w:rPr>
            </w:pPr>
            <w:r>
              <w:rPr>
                <w:rFonts w:hint="cs"/>
                <w:rtl/>
              </w:rPr>
              <w:t>בסעיף 47 לחוק העיקרי, במקום סעיף קטן (א) יבוא:</w:t>
            </w:r>
          </w:p>
        </w:tc>
      </w:tr>
      <w:tr w:rsidR="00DD71DF" w14:paraId="4A348D7C" w14:textId="77777777" w:rsidTr="00DD71DF">
        <w:trPr>
          <w:cantSplit/>
          <w:trHeight w:val="60"/>
        </w:trPr>
        <w:tc>
          <w:tcPr>
            <w:tcW w:w="1871" w:type="dxa"/>
          </w:tcPr>
          <w:p w14:paraId="04C76F36" w14:textId="77777777" w:rsidR="00DD71DF" w:rsidRDefault="00DD71DF" w:rsidP="002F7719">
            <w:pPr>
              <w:pStyle w:val="TableSideHeading"/>
              <w:keepLines w:val="0"/>
              <w:rPr>
                <w:rtl/>
              </w:rPr>
            </w:pPr>
          </w:p>
        </w:tc>
        <w:tc>
          <w:tcPr>
            <w:tcW w:w="624" w:type="dxa"/>
          </w:tcPr>
          <w:p w14:paraId="72020DE8" w14:textId="77777777" w:rsidR="00DD71DF" w:rsidRDefault="00DD71DF" w:rsidP="00DD71DF">
            <w:pPr>
              <w:pStyle w:val="TableText"/>
              <w:keepLines w:val="0"/>
              <w:rPr>
                <w:rtl/>
              </w:rPr>
            </w:pPr>
          </w:p>
        </w:tc>
        <w:tc>
          <w:tcPr>
            <w:tcW w:w="7146" w:type="dxa"/>
          </w:tcPr>
          <w:p w14:paraId="53DC6C53" w14:textId="77777777" w:rsidR="00DD71DF" w:rsidRDefault="00DD71DF" w:rsidP="002F7719">
            <w:pPr>
              <w:pStyle w:val="TableBlock"/>
              <w:keepLines w:val="0"/>
            </w:pPr>
            <w:r>
              <w:rPr>
                <w:rFonts w:hint="cs"/>
                <w:rtl/>
              </w:rPr>
              <w:t>"(א)</w:t>
            </w:r>
            <w:r>
              <w:rPr>
                <w:rtl/>
              </w:rPr>
              <w:tab/>
            </w:r>
            <w:r>
              <w:rPr>
                <w:rFonts w:hint="cs"/>
                <w:rtl/>
              </w:rPr>
              <w:t>תחילתו של חוק זה ביום י"ז בטבת התשפ"א (1 בינואר 2021)."</w:t>
            </w:r>
          </w:p>
        </w:tc>
      </w:tr>
    </w:tbl>
    <w:p w14:paraId="5329C3FA" w14:textId="77777777" w:rsidR="00DD71DF" w:rsidRDefault="00DD71DF" w:rsidP="00DD71DF">
      <w:pPr>
        <w:pStyle w:val="HeadDivreiHesber"/>
        <w:rPr>
          <w:rtl/>
        </w:rPr>
      </w:pPr>
      <w:r>
        <w:rPr>
          <w:rFonts w:hint="cs"/>
          <w:rtl/>
        </w:rPr>
        <w:t>דברי הסבר</w:t>
      </w:r>
    </w:p>
    <w:p w14:paraId="04503DC4" w14:textId="57D785D5" w:rsidR="00DD71DF" w:rsidRDefault="00DD71DF" w:rsidP="00872699">
      <w:pPr>
        <w:pStyle w:val="Hesber"/>
        <w:rPr>
          <w:rtl/>
        </w:rPr>
      </w:pPr>
      <w:r>
        <w:rPr>
          <w:rFonts w:hint="cs"/>
          <w:rtl/>
        </w:rPr>
        <w:t xml:space="preserve">מאז הקמתה בכנסת ה-23, קיימה הוועדה המיוחדת לעניין הקרן לאזרחי ישראל (להלן </w:t>
      </w:r>
      <w:r>
        <w:rPr>
          <w:rtl/>
        </w:rPr>
        <w:t>–</w:t>
      </w:r>
      <w:r>
        <w:rPr>
          <w:rFonts w:hint="cs"/>
          <w:rtl/>
        </w:rPr>
        <w:t xml:space="preserve"> הוועדה המיוחדת) דיונים רבים כדי להבין את הסיבות מדוע טרם הצטבר סכום של מיליארד שקלים חדשים מההיטל על רווחי נפט ומההיטל על משאבי טבע ולפיכך חוק קרן לאזרחי ישראל, התשע"ד</w:t>
      </w:r>
      <w:r w:rsidR="00872699">
        <w:rPr>
          <w:rFonts w:hint="eastAsia"/>
          <w:rtl/>
        </w:rPr>
        <w:t>–</w:t>
      </w:r>
      <w:r>
        <w:rPr>
          <w:rFonts w:hint="cs"/>
          <w:rtl/>
        </w:rPr>
        <w:t xml:space="preserve">2014 (להלן </w:t>
      </w:r>
      <w:r>
        <w:rPr>
          <w:rtl/>
        </w:rPr>
        <w:t>–</w:t>
      </w:r>
      <w:r>
        <w:rPr>
          <w:rFonts w:hint="cs"/>
          <w:rtl/>
        </w:rPr>
        <w:t xml:space="preserve"> החוק) טרם נכנס לתוקף; סעיף 47(א) לחוק קובע ש"</w:t>
      </w:r>
      <w:r w:rsidRPr="000C0C25">
        <w:rPr>
          <w:rtl/>
        </w:rPr>
        <w:t>תחילתו של חוק זה ב-1 בחודש שלאחר המועד שבו הגיעו הכנסות המדינה מההיטל לסכום העולה על מיליארד שקלים חדשים (בסעיף זה – סך ההכנסות במועד הקובע); השר יפרסם בצו את מועד התחילה כאמור</w:t>
      </w:r>
      <w:r w:rsidR="00872699">
        <w:rPr>
          <w:rFonts w:hint="cs"/>
          <w:rtl/>
        </w:rPr>
        <w:t>".</w:t>
      </w:r>
      <w:r>
        <w:rPr>
          <w:rFonts w:hint="cs"/>
          <w:rtl/>
        </w:rPr>
        <w:t xml:space="preserve"> לפי ההערכות שהוצגו בוועדת </w:t>
      </w:r>
      <w:r>
        <w:rPr>
          <w:rFonts w:hint="cs"/>
          <w:rtl/>
        </w:rPr>
        <w:lastRenderedPageBreak/>
        <w:t xml:space="preserve">המדע והטכנולוגיה של הכנסת בעת שהכינה את החוק לקריאה השנייה ולקריאה השלישית, הסכום של מיליארד שקלים חדשים היה אמור להגיע זה מכבר; למרות זאת, הערכות אלה לא התממשו במבחן המציאות בגלל מכלול סיבות, וכעת ההערכות הן שהסכום של מיליארד שקלים חדשים צפוי להגיע במהלך שנת 2021 אולם הדבר יהיה ודאי רק לאחר הגשת הדוחות של חברות הגז שיוגשו לרשות המסים בשנת 2022. עד כה הצטבר בחשבון חוץ תקציבי סכום הקרוב לחצי מיליארד שקלים חדשים </w:t>
      </w:r>
      <w:r>
        <w:rPr>
          <w:rtl/>
        </w:rPr>
        <w:t>–</w:t>
      </w:r>
      <w:r>
        <w:rPr>
          <w:rFonts w:hint="cs"/>
          <w:rtl/>
        </w:rPr>
        <w:t xml:space="preserve"> סכום המנוהל ללא כללי השקעה. </w:t>
      </w:r>
    </w:p>
    <w:p w14:paraId="155E49EB" w14:textId="77777777" w:rsidR="00DD71DF" w:rsidRDefault="00DD71DF" w:rsidP="00DD71DF">
      <w:pPr>
        <w:pStyle w:val="Hesber"/>
        <w:rPr>
          <w:rtl/>
        </w:rPr>
      </w:pPr>
      <w:r>
        <w:rPr>
          <w:rFonts w:hint="cs"/>
          <w:rtl/>
        </w:rPr>
        <w:t>בנוסף, במהלך דיוני הוועדה המיוחדת התברר כי ועדת האיתור לפי סעיף 5 לחוק שהוקמה בשנת 2016 והיתה אמורה להמליץ לראש הממשלה, לשר האוצר ולנגיד בנק ישראל על מועמדים המתאימים ביותר לכהונה כחברי מועצת הקרן לאזרחי ישראל שהם נציגי ציבור, ולהמליץ למועצת הקרן על המועמדים המתאימים ביותר לכהונה כחברי ועדת ההשקעות של הקרן שהם נציגי ציבור, לא הצליחה לסיים את עבודתה, על אף כברת הדרך הרבה שהשיגה</w:t>
      </w:r>
      <w:r>
        <w:t xml:space="preserve"> </w:t>
      </w:r>
      <w:r>
        <w:rPr>
          <w:rFonts w:hint="cs"/>
          <w:rtl/>
        </w:rPr>
        <w:t xml:space="preserve"> - קיום של 6 ישיבות מקצועיות והגשת כ-100 מועמדויות ראויות וטובות; הסיבות העיקריות לאי סיום עבודתה של ועדת האיתור היו טכניות, מחד </w:t>
      </w:r>
      <w:r>
        <w:rPr>
          <w:rtl/>
        </w:rPr>
        <w:t>–</w:t>
      </w:r>
      <w:r>
        <w:rPr>
          <w:rFonts w:hint="cs"/>
          <w:rtl/>
        </w:rPr>
        <w:t xml:space="preserve"> כגון עבודה ללא רכז ועדה שינהל את לוחות הזמנים וירכז את עבודת הוועדה, כמו גם קושי למצוא לוועדה חדר לקיום דיוניה; ומאידך סיבות הנובעות מהרכבה הנוקשה של הוועדה שכולל את מנכ"ל משרד האוצר ואת מנכ"ל משרד ראש הממשלה </w:t>
      </w:r>
      <w:r>
        <w:rPr>
          <w:rtl/>
        </w:rPr>
        <w:t>–</w:t>
      </w:r>
      <w:r>
        <w:rPr>
          <w:rFonts w:hint="cs"/>
          <w:rtl/>
        </w:rPr>
        <w:t xml:space="preserve"> תפקידים עמוסים לכל הדעות. כתוצאה מכך, נדחו גם ישיבות של ועדת האיתור שוב ושוב, והיו מועמדים שהמתינו לתשובה מהוועדה למעלה מחצי שנה לאחר הגישו את מועמדותם.  כתוצאה מכך, החליט יו"ר ועדת האיתור להתפטר מתפקידו, ורק ב-25.8.20, לאחר פניית יו"ר הוועדה המיוחדת, מינה שר המשפטים יו"ר חדש ונציג ציבור לוועדת האיתור לפי סעיף 5 לחוק. </w:t>
      </w:r>
    </w:p>
    <w:p w14:paraId="5D467B4F" w14:textId="0A9B16F6" w:rsidR="00DD71DF" w:rsidRDefault="00DD71DF" w:rsidP="00DD71DF">
      <w:pPr>
        <w:pStyle w:val="Hesber"/>
        <w:rPr>
          <w:rtl/>
        </w:rPr>
      </w:pPr>
      <w:r>
        <w:rPr>
          <w:rFonts w:hint="cs"/>
          <w:rtl/>
        </w:rPr>
        <w:t>לפיכך, מוצע לשנות את הרכב ועדת האיתור, כך שהמנהל הכללי במשרד ראש הממשלה והמנהל הכללי במשרד האוצר יהיו רשאים למנות עובד המדינה בכיר מקרב עובדי משרדם שיכהן בוועדת האיתור במקומם ולאפשר גמי</w:t>
      </w:r>
      <w:r w:rsidR="0034665E">
        <w:rPr>
          <w:rFonts w:hint="cs"/>
          <w:rtl/>
        </w:rPr>
        <w:t>שות מסוימת בהרכב הוועדה מחד</w:t>
      </w:r>
      <w:r>
        <w:rPr>
          <w:rFonts w:hint="cs"/>
          <w:rtl/>
        </w:rPr>
        <w:t>, ו</w:t>
      </w:r>
      <w:r w:rsidR="0034665E">
        <w:rPr>
          <w:rFonts w:hint="cs"/>
          <w:rtl/>
        </w:rPr>
        <w:t>לשמור על בכירות חבריה מאידך</w:t>
      </w:r>
      <w:r>
        <w:rPr>
          <w:rFonts w:hint="cs"/>
          <w:rtl/>
        </w:rPr>
        <w:t xml:space="preserve">. </w:t>
      </w:r>
    </w:p>
    <w:p w14:paraId="73F575B7" w14:textId="249D82D6" w:rsidR="00DD71DF" w:rsidRDefault="00DD71DF" w:rsidP="009A2D80">
      <w:pPr>
        <w:pStyle w:val="Hesber"/>
      </w:pPr>
      <w:r>
        <w:rPr>
          <w:rFonts w:hint="cs"/>
          <w:rtl/>
        </w:rPr>
        <w:t>עוד מוצע לתקן את סעיף התחילה של החוק,</w:t>
      </w:r>
      <w:r w:rsidR="00872699">
        <w:rPr>
          <w:rFonts w:hint="cs"/>
          <w:rtl/>
        </w:rPr>
        <w:t xml:space="preserve"> כך שהוא יחל ביום 1.1.2021 ולא </w:t>
      </w:r>
      <w:r>
        <w:rPr>
          <w:rFonts w:hint="cs"/>
          <w:rtl/>
        </w:rPr>
        <w:t xml:space="preserve">כפוף למועד שבו יצטבר סכום של 1 מיליארד </w:t>
      </w:r>
      <w:r w:rsidR="00872699">
        <w:rPr>
          <w:rFonts w:hint="cs"/>
          <w:rtl/>
        </w:rPr>
        <w:t>שקלים חדשים</w:t>
      </w:r>
      <w:r>
        <w:rPr>
          <w:rFonts w:hint="cs"/>
          <w:rtl/>
        </w:rPr>
        <w:t xml:space="preserve"> לטובת הקרן. מועד חלוט להקמת הקרן יאפשר לאנשי הקרן להיות מעורים ומעורבים יותר בהתנהלות המשרדים והגופים הרלבנטיים המופקדים הן על ה</w:t>
      </w:r>
      <w:r w:rsidR="009A2D80">
        <w:rPr>
          <w:rFonts w:hint="cs"/>
          <w:rtl/>
        </w:rPr>
        <w:t>עברת</w:t>
      </w:r>
      <w:r>
        <w:rPr>
          <w:rFonts w:hint="cs"/>
          <w:rtl/>
        </w:rPr>
        <w:t xml:space="preserve"> כספי ההיטל לקרן לאזרחי ישראל וכמובן על היערכות להשקעתם. כמו כן  תאריך תחילה ודאי לקרן יאפשר לממשלה להיערך מבעוד מועד למנות את נציגיה במועצת הקרן.  </w:t>
      </w:r>
    </w:p>
    <w:p w14:paraId="0E7C3F37" w14:textId="77777777" w:rsidR="00DD71DF" w:rsidRDefault="00DD71DF" w:rsidP="002D1EE3">
      <w:pPr>
        <w:pStyle w:val="HeadDivreiHesber"/>
        <w:rPr>
          <w:rtl/>
        </w:rPr>
      </w:pPr>
    </w:p>
    <w:p w14:paraId="06BE6D53" w14:textId="77777777" w:rsidR="00125C82" w:rsidRPr="00D73212" w:rsidRDefault="00125C82" w:rsidP="00125C82">
      <w:pPr>
        <w:pStyle w:val="Hesber"/>
        <w:ind w:firstLine="0"/>
        <w:rPr>
          <w:color w:val="auto"/>
          <w:rtl/>
          <w:lang w:eastAsia="en-US"/>
        </w:rPr>
      </w:pPr>
      <w:r w:rsidRPr="00D73212">
        <w:rPr>
          <w:color w:val="auto"/>
          <w:rtl/>
          <w:lang w:eastAsia="en-US"/>
        </w:rPr>
        <w:t>---------------------------------</w:t>
      </w:r>
    </w:p>
    <w:p w14:paraId="5274ABFE" w14:textId="77777777" w:rsidR="00125C82" w:rsidRPr="00D73212" w:rsidRDefault="00125C82" w:rsidP="00125C82">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0F71ADE" w14:textId="77777777" w:rsidR="00125C82" w:rsidRPr="00D73212" w:rsidRDefault="00125C82" w:rsidP="00125C82">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2CEB090" w14:textId="77777777" w:rsidR="00125C82" w:rsidRPr="000339B5" w:rsidRDefault="00125C82" w:rsidP="00125C82">
      <w:pPr>
        <w:pStyle w:val="Hesber"/>
        <w:ind w:firstLine="0"/>
      </w:pPr>
      <w:r>
        <w:rPr>
          <w:rFonts w:hint="cs"/>
          <w:color w:val="auto"/>
          <w:rtl/>
          <w:lang w:eastAsia="en-US"/>
        </w:rPr>
        <w:t>כ"א</w:t>
      </w:r>
      <w:r w:rsidRPr="005633C9">
        <w:rPr>
          <w:color w:val="auto"/>
          <w:rtl/>
          <w:lang w:eastAsia="en-US"/>
        </w:rPr>
        <w:t xml:space="preserve"> ב</w:t>
      </w:r>
      <w:r>
        <w:rPr>
          <w:rFonts w:hint="cs"/>
          <w:color w:val="auto"/>
          <w:rtl/>
          <w:lang w:eastAsia="en-US"/>
        </w:rPr>
        <w:t>כסלו</w:t>
      </w:r>
      <w:r w:rsidRPr="005633C9">
        <w:rPr>
          <w:color w:val="auto"/>
          <w:rtl/>
          <w:lang w:eastAsia="en-US"/>
        </w:rPr>
        <w:t xml:space="preserve"> התש</w:t>
      </w:r>
      <w:r>
        <w:rPr>
          <w:rFonts w:hint="cs"/>
          <w:color w:val="auto"/>
          <w:rtl/>
          <w:lang w:eastAsia="en-US"/>
        </w:rPr>
        <w:t>פ"א</w:t>
      </w:r>
      <w:r w:rsidRPr="005633C9">
        <w:rPr>
          <w:color w:val="auto"/>
          <w:rtl/>
          <w:lang w:eastAsia="en-US"/>
        </w:rPr>
        <w:t xml:space="preserve"> </w:t>
      </w:r>
      <w:r>
        <w:rPr>
          <w:rFonts w:hint="cs"/>
          <w:color w:val="auto"/>
          <w:rtl/>
          <w:lang w:eastAsia="en-US"/>
        </w:rPr>
        <w:t>–</w:t>
      </w:r>
      <w:r w:rsidRPr="005633C9">
        <w:rPr>
          <w:color w:val="auto"/>
          <w:rtl/>
          <w:lang w:eastAsia="en-US"/>
        </w:rPr>
        <w:t xml:space="preserve"> </w:t>
      </w:r>
      <w:r>
        <w:rPr>
          <w:rFonts w:hint="cs"/>
          <w:color w:val="auto"/>
          <w:rtl/>
          <w:lang w:eastAsia="en-US"/>
        </w:rPr>
        <w:t>7</w:t>
      </w:r>
      <w:r w:rsidRPr="005633C9">
        <w:rPr>
          <w:color w:val="auto"/>
          <w:rtl/>
          <w:lang w:eastAsia="en-US"/>
        </w:rPr>
        <w:t>.</w:t>
      </w:r>
      <w:r>
        <w:rPr>
          <w:rFonts w:hint="cs"/>
          <w:color w:val="auto"/>
          <w:rtl/>
          <w:lang w:eastAsia="en-US"/>
        </w:rPr>
        <w:t>12</w:t>
      </w:r>
      <w:r w:rsidRPr="005633C9">
        <w:rPr>
          <w:color w:val="auto"/>
          <w:rtl/>
          <w:lang w:eastAsia="en-US"/>
        </w:rPr>
        <w:t>.20</w:t>
      </w:r>
    </w:p>
    <w:p w14:paraId="7F6961CB" w14:textId="77777777" w:rsidR="00E13C27" w:rsidRPr="00125C82" w:rsidRDefault="00E13C27" w:rsidP="00E13C27">
      <w:pPr>
        <w:pStyle w:val="Hesber"/>
        <w:rPr>
          <w:rtl/>
        </w:rPr>
      </w:pPr>
    </w:p>
    <w:sectPr w:rsidR="00E13C27" w:rsidRPr="00125C8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25C8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D71DF">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D24A603" w14:textId="77777777" w:rsidR="00DD71DF" w:rsidRDefault="00DD71DF" w:rsidP="00DD71DF">
      <w:pPr>
        <w:pStyle w:val="a4"/>
      </w:pPr>
      <w:r>
        <w:rPr>
          <w:rStyle w:val="a6"/>
        </w:rPr>
        <w:footnoteRef/>
      </w:r>
      <w:r>
        <w:rPr>
          <w:rtl/>
        </w:rPr>
        <w:t xml:space="preserve"> </w:t>
      </w:r>
      <w:r>
        <w:rPr>
          <w:rFonts w:hint="cs"/>
          <w:rtl/>
        </w:rPr>
        <w:t>ס"ח התשע"ד, עמ' 610.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5C82"/>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665E"/>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2699"/>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2D80"/>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D71DF"/>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E902FD5-18FD-43A4-8308-FC4AA708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D71DF"/>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F84B3-C7A1-4B88-8BAE-A6783F8E6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D79CCC1-D345-4886-B68F-753CEA73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530</Words>
  <Characters>3021</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2020-12-03T08:43:00Z</cp:lastPrinted>
  <dcterms:created xsi:type="dcterms:W3CDTF">2015-04-20T09:58:00Z</dcterms:created>
  <dcterms:modified xsi:type="dcterms:W3CDTF">2020-12-03T08:43:00Z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2149972</vt:r8>
  </property>
</Properties>
</file>