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2148442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אלעזר שטרן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אבי דיכטר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יאיר לפיד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ניר ברקת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מכלוף מיקי זוהר</w:t>
      </w:r>
      <w:bookmarkEnd w:id="3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5AB1189B" w:rsidR="00E13C27" w:rsidRPr="00E06736" w:rsidRDefault="0080694A" w:rsidP="0080694A">
      <w:pPr>
        <w:pStyle w:val="David"/>
        <w:spacing w:line="240" w:lineRule="auto"/>
        <w:ind w:left="3600"/>
        <w:rPr>
          <w:rtl/>
        </w:rPr>
      </w:pPr>
      <w:r>
        <w:rPr>
          <w:rFonts w:hint="cs"/>
          <w:rtl/>
        </w:rPr>
        <w:t xml:space="preserve">    </w:t>
      </w:r>
      <w:r w:rsidR="00904591">
        <w:t xml:space="preserve">                                            </w:t>
      </w:r>
      <w:r w:rsidR="008F1308">
        <w:t xml:space="preserve"> </w:t>
      </w:r>
      <w:bookmarkStart w:id="6" w:name="Private_Number"/>
      <w:r w:rsidR="00904591">
        <w:rPr>
          <w:rFonts w:hint="cs"/>
          <w:rtl/>
        </w:rPr>
        <w:t>פ/2462/23</w:t>
      </w:r>
      <w:bookmarkEnd w:id="6"/>
    </w:p>
    <w:p w14:paraId="7F6961AC" w14:textId="77777777" w:rsidR="00E13C27" w:rsidRDefault="00E13C27" w:rsidP="00E13C27">
      <w:pPr>
        <w:ind w:left="2880" w:firstLine="720"/>
        <w:rPr>
          <w:sz w:val="26"/>
          <w:szCs w:val="26"/>
          <w:rtl/>
        </w:rPr>
      </w:pPr>
    </w:p>
    <w:p w14:paraId="7F6961AD" w14:textId="20DECB9C" w:rsidR="00E13C27" w:rsidRPr="00F67051" w:rsidRDefault="00A443CF" w:rsidP="0021633A">
      <w:pPr>
        <w:pStyle w:val="HeadHatzaotHok"/>
        <w:rPr>
          <w:rtl/>
        </w:rPr>
      </w:pPr>
      <w:r>
        <w:rPr>
          <w:rFonts w:hint="cs"/>
          <w:rtl/>
        </w:rPr>
        <w:t>הצעת חוק משפחות חיילים שנספו במערכה (תגמולים ושיקום) (תיקון</w:t>
      </w:r>
      <w:r w:rsidR="00ED0755">
        <w:rPr>
          <w:rFonts w:hint="cs"/>
          <w:rtl/>
        </w:rPr>
        <w:t xml:space="preserve"> </w:t>
      </w:r>
      <w:r w:rsidR="00ED0755">
        <w:rPr>
          <w:rFonts w:hint="eastAsia"/>
          <w:rtl/>
        </w:rPr>
        <w:t>–</w:t>
      </w:r>
      <w:r>
        <w:rPr>
          <w:rFonts w:hint="cs"/>
          <w:rtl/>
        </w:rPr>
        <w:t xml:space="preserve"> סיוע בהחלפת דירה), התשפ"א</w:t>
      </w:r>
      <w:r w:rsidR="00ED0755">
        <w:rPr>
          <w:rFonts w:hint="eastAsia"/>
          <w:rtl/>
        </w:rPr>
        <w:t>–</w:t>
      </w:r>
      <w:r>
        <w:rPr>
          <w:rFonts w:hint="cs"/>
          <w:rtl/>
        </w:rPr>
        <w:t>2020</w:t>
      </w:r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624"/>
        <w:gridCol w:w="7144"/>
      </w:tblGrid>
      <w:tr w:rsidR="002F1D80" w14:paraId="035EEF3D" w14:textId="77777777" w:rsidTr="00153F5E">
        <w:trPr>
          <w:cantSplit/>
        </w:trPr>
        <w:tc>
          <w:tcPr>
            <w:tcW w:w="1870" w:type="dxa"/>
          </w:tcPr>
          <w:p w14:paraId="3863FF98" w14:textId="2F09250D" w:rsidR="002F1D80" w:rsidRDefault="005471F5" w:rsidP="002C3041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1</w:t>
            </w:r>
          </w:p>
        </w:tc>
        <w:tc>
          <w:tcPr>
            <w:tcW w:w="624" w:type="dxa"/>
          </w:tcPr>
          <w:p w14:paraId="6F513EF6" w14:textId="7DBD97E3" w:rsidR="002F1D80" w:rsidRDefault="005471F5" w:rsidP="002C3041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4" w:type="dxa"/>
          </w:tcPr>
          <w:p w14:paraId="1AE94DEB" w14:textId="29C318F2" w:rsidR="002F1D80" w:rsidRPr="00645E59" w:rsidRDefault="005471F5" w:rsidP="005120D8">
            <w:pPr>
              <w:pStyle w:val="TableBlock"/>
            </w:pPr>
            <w:r w:rsidRPr="00645E59">
              <w:rPr>
                <w:rtl/>
              </w:rPr>
              <w:t>בחוק משפחות חיילים שנספו</w:t>
            </w:r>
            <w:r w:rsidR="005120D8">
              <w:rPr>
                <w:rtl/>
              </w:rPr>
              <w:t xml:space="preserve"> במערכה (תגמולים ושיקום), התש"י</w:t>
            </w:r>
            <w:r w:rsidR="005120D8">
              <w:rPr>
                <w:rFonts w:hint="eastAsia"/>
                <w:rtl/>
              </w:rPr>
              <w:t>–</w:t>
            </w:r>
            <w:r w:rsidR="005120D8">
              <w:rPr>
                <w:rFonts w:hint="cs"/>
                <w:rtl/>
              </w:rPr>
              <w:t>1950</w:t>
            </w:r>
            <w:r w:rsidR="005120D8">
              <w:rPr>
                <w:rStyle w:val="a6"/>
                <w:rtl/>
              </w:rPr>
              <w:footnoteReference w:id="2"/>
            </w:r>
            <w:r w:rsidR="005120D8" w:rsidRPr="00645E59">
              <w:rPr>
                <w:rtl/>
              </w:rPr>
              <w:t xml:space="preserve"> </w:t>
            </w:r>
            <w:r w:rsidRPr="00645E59">
              <w:rPr>
                <w:rtl/>
              </w:rPr>
              <w:t xml:space="preserve">(להלן – החוק העיקרי), בסעיף </w:t>
            </w:r>
            <w:r w:rsidRPr="00645E59">
              <w:rPr>
                <w:rFonts w:hint="cs"/>
                <w:rtl/>
              </w:rPr>
              <w:t>15ה(י)</w:t>
            </w:r>
            <w:r w:rsidR="005120D8">
              <w:rPr>
                <w:rFonts w:hint="cs"/>
                <w:rtl/>
              </w:rPr>
              <w:t>(1)</w:t>
            </w:r>
            <w:r w:rsidRPr="00645E59">
              <w:rPr>
                <w:rFonts w:hint="cs"/>
                <w:rtl/>
              </w:rPr>
              <w:t xml:space="preserve">, במקום </w:t>
            </w:r>
            <w:r w:rsidR="005120D8">
              <w:rPr>
                <w:rFonts w:hint="cs"/>
                <w:rtl/>
              </w:rPr>
              <w:t>הסיפה החל במילים "בניכוי 20% מהסכום" יבוא</w:t>
            </w:r>
            <w:r w:rsidR="004F3E43">
              <w:rPr>
                <w:rFonts w:hint="cs"/>
                <w:rtl/>
              </w:rPr>
              <w:t xml:space="preserve"> </w:t>
            </w:r>
            <w:r w:rsidR="004F3E43">
              <w:rPr>
                <w:rtl/>
              </w:rPr>
              <w:t>"</w:t>
            </w:r>
            <w:r w:rsidR="004F3E43" w:rsidRPr="005471F5">
              <w:rPr>
                <w:rtl/>
              </w:rPr>
              <w:t>בניכוי השיעור שלהלן מהסכום שהיא מקבלת בעבור מכירת דירתה או חלקה בדירה:</w:t>
            </w:r>
          </w:p>
        </w:tc>
      </w:tr>
      <w:tr w:rsidR="0080694A" w14:paraId="01238990" w14:textId="77777777" w:rsidTr="008C0351">
        <w:trPr>
          <w:cantSplit/>
          <w:trHeight w:val="60"/>
        </w:trPr>
        <w:tc>
          <w:tcPr>
            <w:tcW w:w="1870" w:type="dxa"/>
          </w:tcPr>
          <w:p w14:paraId="35EE152F" w14:textId="77777777" w:rsidR="0080694A" w:rsidRDefault="0080694A">
            <w:pPr>
              <w:pStyle w:val="TableSideHeading"/>
            </w:pPr>
          </w:p>
        </w:tc>
        <w:tc>
          <w:tcPr>
            <w:tcW w:w="624" w:type="dxa"/>
          </w:tcPr>
          <w:p w14:paraId="09AF8026" w14:textId="77777777" w:rsidR="0080694A" w:rsidRDefault="0080694A">
            <w:pPr>
              <w:pStyle w:val="TableText"/>
            </w:pPr>
          </w:p>
        </w:tc>
        <w:tc>
          <w:tcPr>
            <w:tcW w:w="7144" w:type="dxa"/>
          </w:tcPr>
          <w:p w14:paraId="56EA9A05" w14:textId="1A3EE85A" w:rsidR="0080694A" w:rsidRDefault="0080694A" w:rsidP="00A16B69">
            <w:pPr>
              <w:pStyle w:val="TableBlock"/>
            </w:pPr>
            <w:r>
              <w:rPr>
                <w:rFonts w:hint="cs"/>
                <w:rtl/>
              </w:rPr>
              <w:t>(</w:t>
            </w:r>
            <w:r w:rsidR="00A16B69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ע</w:t>
            </w:r>
            <w:r w:rsidRPr="00F948E6">
              <w:rPr>
                <w:rtl/>
              </w:rPr>
              <w:t xml:space="preserve">ל </w:t>
            </w:r>
            <w:r>
              <w:rPr>
                <w:rFonts w:hint="cs"/>
                <w:rtl/>
              </w:rPr>
              <w:t>החלק</w:t>
            </w:r>
            <w:r w:rsidRPr="00F948E6">
              <w:rPr>
                <w:rtl/>
              </w:rPr>
              <w:t xml:space="preserve"> שעד 1,000,000 שקלים חדשים</w:t>
            </w:r>
            <w:r>
              <w:rPr>
                <w:rFonts w:hint="cs"/>
                <w:rtl/>
              </w:rPr>
              <w:t xml:space="preserve"> </w:t>
            </w:r>
            <w:r w:rsidRPr="00F948E6">
              <w:rPr>
                <w:rtl/>
              </w:rPr>
              <w:t>– 0%;</w:t>
            </w:r>
          </w:p>
        </w:tc>
      </w:tr>
      <w:tr w:rsidR="0080694A" w14:paraId="065A6CD2" w14:textId="77777777" w:rsidTr="00235CF7">
        <w:trPr>
          <w:cantSplit/>
          <w:trHeight w:val="60"/>
        </w:trPr>
        <w:tc>
          <w:tcPr>
            <w:tcW w:w="1870" w:type="dxa"/>
          </w:tcPr>
          <w:p w14:paraId="665D47CB" w14:textId="77777777" w:rsidR="0080694A" w:rsidRDefault="0080694A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2398336E" w14:textId="77777777" w:rsidR="0080694A" w:rsidRDefault="0080694A" w:rsidP="00153F5E">
            <w:pPr>
              <w:pStyle w:val="TableText"/>
            </w:pPr>
          </w:p>
        </w:tc>
        <w:tc>
          <w:tcPr>
            <w:tcW w:w="7144" w:type="dxa"/>
          </w:tcPr>
          <w:p w14:paraId="2848A7CF" w14:textId="7ED859D2" w:rsidR="0080694A" w:rsidRDefault="0080694A" w:rsidP="00A16B69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A16B69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ע</w:t>
            </w:r>
            <w:r w:rsidRPr="00F948E6">
              <w:rPr>
                <w:rtl/>
              </w:rPr>
              <w:t xml:space="preserve">ל </w:t>
            </w:r>
            <w:r>
              <w:rPr>
                <w:rFonts w:hint="cs"/>
                <w:rtl/>
              </w:rPr>
              <w:t>החלק העולה על</w:t>
            </w:r>
            <w:r w:rsidRPr="00F948E6">
              <w:rPr>
                <w:rtl/>
              </w:rPr>
              <w:t xml:space="preserve"> 1,000,000 שקלים חדשים ו</w:t>
            </w:r>
            <w:r>
              <w:rPr>
                <w:rFonts w:hint="cs"/>
                <w:rtl/>
              </w:rPr>
              <w:t xml:space="preserve">עד </w:t>
            </w:r>
            <w:r w:rsidRPr="00F948E6">
              <w:rPr>
                <w:rtl/>
              </w:rPr>
              <w:t>2,000,000 שקלים חדשים – 2%;</w:t>
            </w:r>
          </w:p>
        </w:tc>
      </w:tr>
      <w:tr w:rsidR="0080694A" w14:paraId="7797830F" w14:textId="77777777" w:rsidTr="003C782D">
        <w:trPr>
          <w:cantSplit/>
          <w:trHeight w:val="60"/>
        </w:trPr>
        <w:tc>
          <w:tcPr>
            <w:tcW w:w="1870" w:type="dxa"/>
          </w:tcPr>
          <w:p w14:paraId="15152638" w14:textId="77777777" w:rsidR="0080694A" w:rsidRDefault="0080694A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6767EF8F" w14:textId="77777777" w:rsidR="0080694A" w:rsidRDefault="0080694A" w:rsidP="00153F5E">
            <w:pPr>
              <w:pStyle w:val="TableText"/>
            </w:pPr>
          </w:p>
        </w:tc>
        <w:tc>
          <w:tcPr>
            <w:tcW w:w="7144" w:type="dxa"/>
          </w:tcPr>
          <w:p w14:paraId="4C83CE8B" w14:textId="4C2032BA" w:rsidR="0080694A" w:rsidRDefault="0080694A" w:rsidP="00A16B69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A16B69">
              <w:rPr>
                <w:rFonts w:hint="cs"/>
                <w:rtl/>
              </w:rPr>
              <w:t>3</w:t>
            </w:r>
            <w:bookmarkStart w:id="7" w:name="_GoBack"/>
            <w:bookmarkEnd w:id="7"/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על החלק העולה על 2,000,000 שקלים חדשים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5%."</w:t>
            </w:r>
          </w:p>
        </w:tc>
      </w:tr>
    </w:tbl>
    <w:p w14:paraId="7F6961CA" w14:textId="77777777" w:rsidR="002D1EE3" w:rsidRPr="00A234B2" w:rsidRDefault="002D1EE3" w:rsidP="00A234B2">
      <w:pPr>
        <w:pStyle w:val="HeadDivreiHesber"/>
        <w:rPr>
          <w:rtl/>
        </w:rPr>
      </w:pPr>
      <w:r w:rsidRPr="00A234B2">
        <w:rPr>
          <w:rFonts w:hint="cs"/>
          <w:rtl/>
        </w:rPr>
        <w:t>דברי הסבר</w:t>
      </w:r>
    </w:p>
    <w:p w14:paraId="588D14F8" w14:textId="0552A30F" w:rsidR="005471F5" w:rsidRPr="00645E59" w:rsidRDefault="005471F5" w:rsidP="005120D8">
      <w:pPr>
        <w:pStyle w:val="Hesber"/>
        <w:rPr>
          <w:rtl/>
        </w:rPr>
      </w:pPr>
      <w:r w:rsidRPr="00645E59">
        <w:rPr>
          <w:rFonts w:hint="cs"/>
          <w:rtl/>
        </w:rPr>
        <w:t>כיום קיים אבסורד בהסדר שעוסק בסיוע לאלמנות בהחלפת דירה, הסדר המעוגן ב</w:t>
      </w:r>
      <w:r w:rsidRPr="00645E59">
        <w:rPr>
          <w:rtl/>
        </w:rPr>
        <w:t>חוק משפחות חיילים שנספו במערכה (תגמולים ושיקום), התש"י–1950</w:t>
      </w:r>
      <w:r w:rsidRPr="00645E59">
        <w:rPr>
          <w:rFonts w:hint="cs"/>
          <w:rtl/>
        </w:rPr>
        <w:t>. ההסדר קובע שמתוך המענק הכספי לטובת החלפת דירה, שגובהו 67,</w:t>
      </w:r>
      <w:r w:rsidR="00703ADD">
        <w:rPr>
          <w:rFonts w:hint="cs"/>
          <w:rtl/>
        </w:rPr>
        <w:t>9</w:t>
      </w:r>
      <w:r w:rsidR="00703ADD" w:rsidRPr="00645E59">
        <w:rPr>
          <w:rFonts w:hint="cs"/>
          <w:rtl/>
        </w:rPr>
        <w:t>4</w:t>
      </w:r>
      <w:r w:rsidR="00703ADD">
        <w:rPr>
          <w:rFonts w:hint="cs"/>
          <w:rtl/>
        </w:rPr>
        <w:t>9</w:t>
      </w:r>
      <w:r w:rsidR="00703ADD" w:rsidRPr="00645E59">
        <w:rPr>
          <w:rFonts w:hint="cs"/>
          <w:rtl/>
        </w:rPr>
        <w:t xml:space="preserve"> </w:t>
      </w:r>
      <w:r w:rsidRPr="00645E59">
        <w:rPr>
          <w:rFonts w:hint="cs"/>
          <w:rtl/>
        </w:rPr>
        <w:t>שקלים חדשים לאלמנה שילדיה אינם תלויים בה ו-17</w:t>
      </w:r>
      <w:r w:rsidR="00703ADD">
        <w:rPr>
          <w:rFonts w:hint="cs"/>
          <w:rtl/>
        </w:rPr>
        <w:t>6</w:t>
      </w:r>
      <w:r w:rsidRPr="00645E59">
        <w:rPr>
          <w:rFonts w:hint="cs"/>
          <w:rtl/>
        </w:rPr>
        <w:t>,</w:t>
      </w:r>
      <w:r w:rsidR="00703ADD" w:rsidRPr="00645E59">
        <w:rPr>
          <w:rFonts w:hint="cs"/>
          <w:rtl/>
        </w:rPr>
        <w:t>5</w:t>
      </w:r>
      <w:r w:rsidR="00703ADD">
        <w:rPr>
          <w:rFonts w:hint="cs"/>
          <w:rtl/>
        </w:rPr>
        <w:t>54</w:t>
      </w:r>
      <w:r w:rsidR="00703ADD" w:rsidRPr="00645E59">
        <w:rPr>
          <w:rFonts w:hint="cs"/>
          <w:rtl/>
        </w:rPr>
        <w:t xml:space="preserve"> </w:t>
      </w:r>
      <w:r w:rsidRPr="00645E59">
        <w:rPr>
          <w:rFonts w:hint="cs"/>
          <w:rtl/>
        </w:rPr>
        <w:t>שקלים חדשים לאלמנה שילדיה תלויים בה, ינוכו 20% מהסכום שנתקבל ממכירת הדירה הישנה. ייתכן שלהסדר כזה היה היגיון כלכלי בשנות ה-50 אך ב</w:t>
      </w:r>
      <w:r w:rsidR="005120D8">
        <w:rPr>
          <w:rFonts w:hint="cs"/>
          <w:rtl/>
        </w:rPr>
        <w:t>מצב שוק הדירות כיום אין לו היגיון</w:t>
      </w:r>
      <w:r w:rsidRPr="00645E59">
        <w:rPr>
          <w:rFonts w:hint="cs"/>
          <w:rtl/>
        </w:rPr>
        <w:t xml:space="preserve">, שכן ניכוי 20% מערכה הכספי של כל דירה ממוצעת (ואף למטה מכך) </w:t>
      </w:r>
      <w:r w:rsidRPr="00645E59">
        <w:rPr>
          <w:rtl/>
        </w:rPr>
        <w:t>–</w:t>
      </w:r>
      <w:r w:rsidRPr="00645E59">
        <w:rPr>
          <w:rFonts w:hint="cs"/>
          <w:rtl/>
        </w:rPr>
        <w:t xml:space="preserve"> תאיין את כל המענק. לדוגמא, אם אלמנה שאינה מטופלת בילדים מוכרת דירה קטנה וצנועה ומקבלת עבורה 1,000,000 שקלים חדשים, היא לא תוכל ליהנות מהמענק, משום ש-20% ממחיר דירתה הישנה שווים ל-200,000 שקלים חדשים, שהם </w:t>
      </w:r>
      <w:r w:rsidRPr="00645E59">
        <w:rPr>
          <w:rFonts w:hint="cs"/>
          <w:rtl/>
        </w:rPr>
        <w:lastRenderedPageBreak/>
        <w:t>כמעט פי 4 מסכום המענק. על פי דוגמא זו, גם אלמנה המטופלת בילדים הסמוכים על שולחנה לא תזכה למענק כלשהו.</w:t>
      </w:r>
    </w:p>
    <w:p w14:paraId="7F6961CB" w14:textId="1468F3C5" w:rsidR="00E13C27" w:rsidRDefault="005471F5" w:rsidP="00AC4BD1">
      <w:pPr>
        <w:pStyle w:val="Hesber"/>
        <w:rPr>
          <w:rtl/>
        </w:rPr>
      </w:pPr>
      <w:r w:rsidRPr="00645E59">
        <w:rPr>
          <w:rFonts w:hint="cs"/>
          <w:rtl/>
        </w:rPr>
        <w:t>מוצע אם כן לאמץ הסדר חלופי שיותיר בידי אלמנות אפשרות ריאלית ליהנות מהמענק הכספי המ</w:t>
      </w:r>
      <w:r w:rsidR="00AC4BD1">
        <w:rPr>
          <w:rFonts w:hint="cs"/>
          <w:rtl/>
        </w:rPr>
        <w:t>יועד</w:t>
      </w:r>
      <w:r w:rsidRPr="00645E59">
        <w:rPr>
          <w:rFonts w:hint="cs"/>
          <w:rtl/>
        </w:rPr>
        <w:t xml:space="preserve"> להן בחוק, תוך התחשבות יתרה באלמנות ממעמד סוציו-אקונומי נמוך יותר. בדומה למדרגות מס הכנסה, מוצע לאמץ "מדרגות ניכוי" שיבטיחו סיוע מלא עבור אלמנה</w:t>
      </w:r>
      <w:r w:rsidRPr="00A234B2">
        <w:rPr>
          <w:rFonts w:hint="cs"/>
          <w:rtl/>
        </w:rPr>
        <w:t xml:space="preserve"> שמוכרת דירה במחיר ש</w:t>
      </w:r>
      <w:r w:rsidR="00AC4BD1">
        <w:rPr>
          <w:rFonts w:hint="cs"/>
          <w:rtl/>
        </w:rPr>
        <w:t>ל מיליון שקלים חדשים ומטה</w:t>
      </w:r>
      <w:r w:rsidRPr="00A234B2">
        <w:rPr>
          <w:rFonts w:hint="cs"/>
          <w:rtl/>
        </w:rPr>
        <w:t xml:space="preserve">. לעומת זאת, ככל שדירת המגורים שנמכרה על ידי האלמנה יקרה יותר </w:t>
      </w:r>
      <w:r w:rsidRPr="00A234B2">
        <w:rPr>
          <w:rtl/>
        </w:rPr>
        <w:t>–</w:t>
      </w:r>
      <w:r w:rsidRPr="0000230E">
        <w:rPr>
          <w:rFonts w:hint="cs"/>
          <w:rtl/>
        </w:rPr>
        <w:t xml:space="preserve"> כך ינוכה אחוז גדול יותר מגובה המענק שיינתן לה. הסדר כזה מגשים באופן המיטבי את התכלית הכפולה העומדת בבסיס החוק: להעמיד</w:t>
      </w:r>
      <w:r w:rsidR="00AC4BD1">
        <w:rPr>
          <w:rFonts w:hint="cs"/>
          <w:rtl/>
        </w:rPr>
        <w:t xml:space="preserve"> סיוע כלכלי לטובת אלמנות ש</w:t>
      </w:r>
      <w:r w:rsidRPr="0000230E">
        <w:rPr>
          <w:rFonts w:hint="cs"/>
          <w:rtl/>
        </w:rPr>
        <w:t>ל</w:t>
      </w:r>
      <w:r w:rsidR="00AC4BD1">
        <w:rPr>
          <w:rFonts w:hint="cs"/>
          <w:rtl/>
        </w:rPr>
        <w:t xml:space="preserve"> </w:t>
      </w:r>
      <w:r w:rsidRPr="0000230E">
        <w:rPr>
          <w:rFonts w:hint="cs"/>
          <w:rtl/>
        </w:rPr>
        <w:t>חיילים שנספו</w:t>
      </w:r>
      <w:r w:rsidRPr="00A9289E">
        <w:rPr>
          <w:rFonts w:hint="cs"/>
          <w:rtl/>
        </w:rPr>
        <w:t xml:space="preserve"> במערכה, ו</w:t>
      </w:r>
      <w:r w:rsidR="0000230E">
        <w:rPr>
          <w:rFonts w:hint="cs"/>
          <w:rtl/>
        </w:rPr>
        <w:t xml:space="preserve">יחד עם זאת </w:t>
      </w:r>
      <w:r w:rsidRPr="0000230E">
        <w:rPr>
          <w:rFonts w:hint="cs"/>
          <w:rtl/>
        </w:rPr>
        <w:t>לסייע יותר לאלמנות שזקוקות לכך יותר</w:t>
      </w:r>
      <w:r w:rsidRPr="00A9289E">
        <w:rPr>
          <w:rFonts w:hint="cs"/>
          <w:rtl/>
        </w:rPr>
        <w:t xml:space="preserve">. </w:t>
      </w:r>
    </w:p>
    <w:p w14:paraId="27CC9C19" w14:textId="77777777" w:rsidR="0080694A" w:rsidRDefault="0080694A" w:rsidP="00AC4BD1">
      <w:pPr>
        <w:pStyle w:val="Hesber"/>
        <w:rPr>
          <w:rtl/>
        </w:rPr>
      </w:pPr>
    </w:p>
    <w:p w14:paraId="17E4F711" w14:textId="77777777" w:rsidR="0080694A" w:rsidRPr="0080694A" w:rsidRDefault="0080694A" w:rsidP="0080694A">
      <w:pPr>
        <w:autoSpaceDE w:val="0"/>
        <w:autoSpaceDN w:val="0"/>
        <w:adjustRightInd w:val="0"/>
        <w:snapToGrid w:val="0"/>
        <w:ind w:left="0"/>
        <w:contextualSpacing w:val="0"/>
        <w:textAlignment w:val="center"/>
        <w:rPr>
          <w:rFonts w:ascii="Arial" w:eastAsia="Arial Unicode MS" w:hAnsi="Arial"/>
          <w:snapToGrid w:val="0"/>
          <w:sz w:val="20"/>
          <w:szCs w:val="26"/>
          <w:rtl/>
        </w:rPr>
      </w:pPr>
      <w:r w:rsidRPr="0080694A">
        <w:rPr>
          <w:rFonts w:ascii="Arial" w:eastAsia="Arial Unicode MS" w:hAnsi="Arial"/>
          <w:snapToGrid w:val="0"/>
          <w:sz w:val="20"/>
          <w:szCs w:val="26"/>
          <w:rtl/>
        </w:rPr>
        <w:t>---------------------------------</w:t>
      </w:r>
    </w:p>
    <w:p w14:paraId="45E706F1" w14:textId="77777777" w:rsidR="0080694A" w:rsidRPr="0080694A" w:rsidRDefault="0080694A" w:rsidP="0080694A">
      <w:pPr>
        <w:autoSpaceDE w:val="0"/>
        <w:autoSpaceDN w:val="0"/>
        <w:adjustRightInd w:val="0"/>
        <w:snapToGrid w:val="0"/>
        <w:ind w:left="0"/>
        <w:contextualSpacing w:val="0"/>
        <w:textAlignment w:val="center"/>
        <w:rPr>
          <w:rFonts w:ascii="Arial" w:eastAsia="Arial Unicode MS" w:hAnsi="Arial"/>
          <w:snapToGrid w:val="0"/>
          <w:sz w:val="26"/>
          <w:szCs w:val="26"/>
          <w:rtl/>
        </w:rPr>
      </w:pPr>
      <w:r w:rsidRPr="0080694A">
        <w:rPr>
          <w:rFonts w:ascii="Arial" w:eastAsia="Arial Unicode MS" w:hAnsi="Arial" w:hint="cs"/>
          <w:snapToGrid w:val="0"/>
          <w:sz w:val="26"/>
          <w:szCs w:val="26"/>
          <w:rtl/>
        </w:rPr>
        <w:t>הוגשה</w:t>
      </w:r>
      <w:r w:rsidRPr="0080694A">
        <w:rPr>
          <w:rFonts w:ascii="Arial" w:eastAsia="Arial Unicode MS" w:hAnsi="Arial"/>
          <w:snapToGrid w:val="0"/>
          <w:sz w:val="26"/>
          <w:szCs w:val="26"/>
          <w:rtl/>
        </w:rPr>
        <w:t xml:space="preserve"> </w:t>
      </w:r>
      <w:r w:rsidRPr="0080694A">
        <w:rPr>
          <w:rFonts w:ascii="Arial" w:eastAsia="Arial Unicode MS" w:hAnsi="Arial" w:hint="cs"/>
          <w:snapToGrid w:val="0"/>
          <w:sz w:val="26"/>
          <w:szCs w:val="26"/>
          <w:rtl/>
        </w:rPr>
        <w:t>ליו</w:t>
      </w:r>
      <w:r w:rsidRPr="0080694A">
        <w:rPr>
          <w:rFonts w:ascii="Arial" w:eastAsia="Arial Unicode MS" w:hAnsi="Arial"/>
          <w:snapToGrid w:val="0"/>
          <w:sz w:val="26"/>
          <w:szCs w:val="26"/>
          <w:rtl/>
        </w:rPr>
        <w:t>"</w:t>
      </w:r>
      <w:r w:rsidRPr="0080694A">
        <w:rPr>
          <w:rFonts w:ascii="Arial" w:eastAsia="Arial Unicode MS" w:hAnsi="Arial" w:hint="cs"/>
          <w:snapToGrid w:val="0"/>
          <w:sz w:val="26"/>
          <w:szCs w:val="26"/>
          <w:rtl/>
        </w:rPr>
        <w:t>ר</w:t>
      </w:r>
      <w:r w:rsidRPr="0080694A">
        <w:rPr>
          <w:rFonts w:ascii="Arial" w:eastAsia="Arial Unicode MS" w:hAnsi="Arial"/>
          <w:snapToGrid w:val="0"/>
          <w:sz w:val="26"/>
          <w:szCs w:val="26"/>
          <w:rtl/>
        </w:rPr>
        <w:t xml:space="preserve"> </w:t>
      </w:r>
      <w:r w:rsidRPr="0080694A">
        <w:rPr>
          <w:rFonts w:ascii="Arial" w:eastAsia="Arial Unicode MS" w:hAnsi="Arial" w:hint="cs"/>
          <w:snapToGrid w:val="0"/>
          <w:sz w:val="26"/>
          <w:szCs w:val="26"/>
          <w:rtl/>
        </w:rPr>
        <w:t>הכנסת</w:t>
      </w:r>
      <w:r w:rsidRPr="0080694A">
        <w:rPr>
          <w:rFonts w:ascii="Arial" w:eastAsia="Arial Unicode MS" w:hAnsi="Arial"/>
          <w:snapToGrid w:val="0"/>
          <w:sz w:val="26"/>
          <w:szCs w:val="26"/>
          <w:rtl/>
        </w:rPr>
        <w:t xml:space="preserve"> </w:t>
      </w:r>
      <w:r w:rsidRPr="0080694A">
        <w:rPr>
          <w:rFonts w:ascii="Arial" w:eastAsia="Arial Unicode MS" w:hAnsi="Arial" w:hint="cs"/>
          <w:snapToGrid w:val="0"/>
          <w:sz w:val="26"/>
          <w:szCs w:val="26"/>
          <w:rtl/>
        </w:rPr>
        <w:t>והסגנים</w:t>
      </w:r>
    </w:p>
    <w:p w14:paraId="4B021521" w14:textId="77777777" w:rsidR="0080694A" w:rsidRPr="0080694A" w:rsidRDefault="0080694A" w:rsidP="0080694A">
      <w:pPr>
        <w:autoSpaceDE w:val="0"/>
        <w:autoSpaceDN w:val="0"/>
        <w:adjustRightInd w:val="0"/>
        <w:snapToGrid w:val="0"/>
        <w:ind w:left="0"/>
        <w:contextualSpacing w:val="0"/>
        <w:textAlignment w:val="center"/>
        <w:rPr>
          <w:rFonts w:ascii="Arial" w:eastAsia="Arial Unicode MS" w:hAnsi="Arial"/>
          <w:snapToGrid w:val="0"/>
          <w:sz w:val="26"/>
          <w:szCs w:val="26"/>
          <w:rtl/>
        </w:rPr>
      </w:pPr>
      <w:r w:rsidRPr="0080694A">
        <w:rPr>
          <w:rFonts w:ascii="Arial" w:eastAsia="Arial Unicode MS" w:hAnsi="Arial" w:hint="cs"/>
          <w:snapToGrid w:val="0"/>
          <w:sz w:val="26"/>
          <w:szCs w:val="26"/>
          <w:rtl/>
        </w:rPr>
        <w:t>והונחה</w:t>
      </w:r>
      <w:r w:rsidRPr="0080694A">
        <w:rPr>
          <w:rFonts w:ascii="Arial" w:eastAsia="Arial Unicode MS" w:hAnsi="Arial"/>
          <w:snapToGrid w:val="0"/>
          <w:sz w:val="26"/>
          <w:szCs w:val="26"/>
          <w:rtl/>
        </w:rPr>
        <w:t xml:space="preserve"> </w:t>
      </w:r>
      <w:r w:rsidRPr="0080694A">
        <w:rPr>
          <w:rFonts w:ascii="Arial" w:eastAsia="Arial Unicode MS" w:hAnsi="Arial" w:hint="cs"/>
          <w:snapToGrid w:val="0"/>
          <w:sz w:val="26"/>
          <w:szCs w:val="26"/>
          <w:rtl/>
        </w:rPr>
        <w:t>על</w:t>
      </w:r>
      <w:r w:rsidRPr="0080694A">
        <w:rPr>
          <w:rFonts w:ascii="Arial" w:eastAsia="Arial Unicode MS" w:hAnsi="Arial"/>
          <w:snapToGrid w:val="0"/>
          <w:sz w:val="26"/>
          <w:szCs w:val="26"/>
          <w:rtl/>
        </w:rPr>
        <w:t xml:space="preserve"> </w:t>
      </w:r>
      <w:r w:rsidRPr="0080694A">
        <w:rPr>
          <w:rFonts w:ascii="Arial" w:eastAsia="Arial Unicode MS" w:hAnsi="Arial" w:hint="cs"/>
          <w:snapToGrid w:val="0"/>
          <w:sz w:val="26"/>
          <w:szCs w:val="26"/>
          <w:rtl/>
        </w:rPr>
        <w:t>שולחן</w:t>
      </w:r>
      <w:r w:rsidRPr="0080694A">
        <w:rPr>
          <w:rFonts w:ascii="Arial" w:eastAsia="Arial Unicode MS" w:hAnsi="Arial"/>
          <w:snapToGrid w:val="0"/>
          <w:sz w:val="26"/>
          <w:szCs w:val="26"/>
          <w:rtl/>
        </w:rPr>
        <w:t xml:space="preserve"> </w:t>
      </w:r>
      <w:r w:rsidRPr="0080694A">
        <w:rPr>
          <w:rFonts w:ascii="Arial" w:eastAsia="Arial Unicode MS" w:hAnsi="Arial" w:hint="cs"/>
          <w:snapToGrid w:val="0"/>
          <w:sz w:val="26"/>
          <w:szCs w:val="26"/>
          <w:rtl/>
        </w:rPr>
        <w:t>הכנסת</w:t>
      </w:r>
      <w:r w:rsidRPr="0080694A">
        <w:rPr>
          <w:rFonts w:ascii="Arial" w:eastAsia="Arial Unicode MS" w:hAnsi="Arial"/>
          <w:snapToGrid w:val="0"/>
          <w:sz w:val="26"/>
          <w:szCs w:val="26"/>
          <w:rtl/>
        </w:rPr>
        <w:t xml:space="preserve"> </w:t>
      </w:r>
      <w:r w:rsidRPr="0080694A">
        <w:rPr>
          <w:rFonts w:ascii="Arial" w:eastAsia="Arial Unicode MS" w:hAnsi="Arial" w:hint="cs"/>
          <w:snapToGrid w:val="0"/>
          <w:sz w:val="26"/>
          <w:szCs w:val="26"/>
          <w:rtl/>
        </w:rPr>
        <w:t>ביום</w:t>
      </w:r>
    </w:p>
    <w:p w14:paraId="29F17B11" w14:textId="77777777" w:rsidR="0080694A" w:rsidRPr="0080694A" w:rsidRDefault="0080694A" w:rsidP="0080694A">
      <w:pPr>
        <w:autoSpaceDE w:val="0"/>
        <w:autoSpaceDN w:val="0"/>
        <w:adjustRightInd w:val="0"/>
        <w:snapToGrid w:val="0"/>
        <w:ind w:left="0"/>
        <w:contextualSpacing w:val="0"/>
        <w:textAlignment w:val="center"/>
        <w:rPr>
          <w:rFonts w:ascii="Arial" w:eastAsia="Arial Unicode MS" w:hAnsi="Arial"/>
          <w:snapToGrid w:val="0"/>
          <w:color w:val="000000"/>
          <w:sz w:val="26"/>
          <w:szCs w:val="26"/>
          <w:rtl/>
          <w:lang w:eastAsia="ja-JP"/>
        </w:rPr>
      </w:pPr>
      <w:r w:rsidRPr="0080694A">
        <w:rPr>
          <w:rFonts w:ascii="Arial" w:eastAsia="Arial Unicode MS" w:hAnsi="Arial" w:hint="cs"/>
          <w:snapToGrid w:val="0"/>
          <w:sz w:val="20"/>
          <w:szCs w:val="26"/>
          <w:rtl/>
        </w:rPr>
        <w:t>י"ד</w:t>
      </w:r>
      <w:r w:rsidRPr="0080694A">
        <w:rPr>
          <w:rFonts w:ascii="Arial" w:eastAsia="Arial Unicode MS" w:hAnsi="Arial" w:hint="cs"/>
          <w:snapToGrid w:val="0"/>
          <w:sz w:val="26"/>
          <w:szCs w:val="26"/>
          <w:rtl/>
        </w:rPr>
        <w:t xml:space="preserve"> בכסלו התשפ"א </w:t>
      </w:r>
      <w:r w:rsidRPr="0080694A">
        <w:rPr>
          <w:rFonts w:ascii="Arial" w:eastAsia="Arial Unicode MS" w:hAnsi="Arial"/>
          <w:snapToGrid w:val="0"/>
          <w:sz w:val="26"/>
          <w:szCs w:val="26"/>
          <w:rtl/>
        </w:rPr>
        <w:t>–</w:t>
      </w:r>
      <w:r w:rsidRPr="0080694A">
        <w:rPr>
          <w:rFonts w:ascii="Arial" w:eastAsia="Arial Unicode MS" w:hAnsi="Arial" w:hint="cs"/>
          <w:snapToGrid w:val="0"/>
          <w:sz w:val="26"/>
          <w:szCs w:val="26"/>
          <w:rtl/>
        </w:rPr>
        <w:t xml:space="preserve"> 30.11.20</w:t>
      </w:r>
    </w:p>
    <w:p w14:paraId="6F8D3988" w14:textId="77777777" w:rsidR="0080694A" w:rsidRDefault="0080694A" w:rsidP="00AC4BD1">
      <w:pPr>
        <w:pStyle w:val="Hesber"/>
        <w:rPr>
          <w:rtl/>
        </w:rPr>
      </w:pPr>
    </w:p>
    <w:sectPr w:rsidR="0080694A" w:rsidSect="00A234B2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A16B69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5120D8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572E6D4A" w14:textId="72E37058" w:rsidR="005120D8" w:rsidRDefault="005120D8">
      <w:pPr>
        <w:pStyle w:val="a4"/>
      </w:pPr>
      <w:r>
        <w:rPr>
          <w:rStyle w:val="a6"/>
        </w:rPr>
        <w:footnoteRef/>
      </w:r>
      <w:r>
        <w:rPr>
          <w:rtl/>
        </w:rPr>
        <w:t xml:space="preserve"> ס"ח התש"י, עמ' 162.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505FF"/>
    <w:multiLevelType w:val="hybridMultilevel"/>
    <w:tmpl w:val="81728312"/>
    <w:lvl w:ilvl="0" w:tplc="021E932A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1"/>
  </w:num>
  <w:num w:numId="14">
    <w:abstractNumId w:val="17"/>
  </w:num>
  <w:num w:numId="15">
    <w:abstractNumId w:val="14"/>
  </w:num>
  <w:num w:numId="16">
    <w:abstractNumId w:val="14"/>
    <w:lvlOverride w:ilvl="0">
      <w:startOverride w:val="1"/>
    </w:lvlOverride>
  </w:num>
  <w:num w:numId="17">
    <w:abstractNumId w:val="1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0230E"/>
    <w:rsid w:val="00015B27"/>
    <w:rsid w:val="00063A3E"/>
    <w:rsid w:val="00072CAC"/>
    <w:rsid w:val="0007681A"/>
    <w:rsid w:val="00076A9D"/>
    <w:rsid w:val="000A542E"/>
    <w:rsid w:val="00102B6B"/>
    <w:rsid w:val="001052D4"/>
    <w:rsid w:val="0010644B"/>
    <w:rsid w:val="001207F8"/>
    <w:rsid w:val="001217CC"/>
    <w:rsid w:val="00121924"/>
    <w:rsid w:val="001279A8"/>
    <w:rsid w:val="0014195F"/>
    <w:rsid w:val="00152609"/>
    <w:rsid w:val="00153E1B"/>
    <w:rsid w:val="00153F5E"/>
    <w:rsid w:val="001A0623"/>
    <w:rsid w:val="001B42F6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4F3E43"/>
    <w:rsid w:val="005120D8"/>
    <w:rsid w:val="005471F5"/>
    <w:rsid w:val="00553C9D"/>
    <w:rsid w:val="00562A66"/>
    <w:rsid w:val="005B064E"/>
    <w:rsid w:val="005D51AE"/>
    <w:rsid w:val="0062674B"/>
    <w:rsid w:val="006363B2"/>
    <w:rsid w:val="00644940"/>
    <w:rsid w:val="00645E59"/>
    <w:rsid w:val="006818A9"/>
    <w:rsid w:val="006A2D81"/>
    <w:rsid w:val="006C1D0D"/>
    <w:rsid w:val="00703AD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0694A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16B69"/>
    <w:rsid w:val="00A234B2"/>
    <w:rsid w:val="00A26BD6"/>
    <w:rsid w:val="00A443CF"/>
    <w:rsid w:val="00A6611D"/>
    <w:rsid w:val="00A82CB7"/>
    <w:rsid w:val="00A9289E"/>
    <w:rsid w:val="00A942C1"/>
    <w:rsid w:val="00AA2F03"/>
    <w:rsid w:val="00AC36F7"/>
    <w:rsid w:val="00AC4BD1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0755"/>
    <w:rsid w:val="00ED4A6F"/>
    <w:rsid w:val="00EF3A3A"/>
    <w:rsid w:val="00F54477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D5AA381D-B498-44C3-AE96-BAF6B32D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E59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5E59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645E59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645E59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645E59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45E59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ver1-Reshumot">
    <w:name w:val="Cover 1-Reshumot"/>
    <w:basedOn w:val="a"/>
    <w:rsid w:val="00645E59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645E59"/>
    <w:rPr>
      <w:sz w:val="36"/>
      <w:szCs w:val="52"/>
    </w:rPr>
  </w:style>
  <w:style w:type="paragraph" w:customStyle="1" w:styleId="Cover3-Haknesset">
    <w:name w:val="Cover 3-Haknesset"/>
    <w:basedOn w:val="Cover1-Reshumot"/>
    <w:rsid w:val="00645E59"/>
    <w:rPr>
      <w:b/>
      <w:bCs/>
      <w:spacing w:val="60"/>
    </w:rPr>
  </w:style>
  <w:style w:type="paragraph" w:customStyle="1" w:styleId="Cover4-Date">
    <w:name w:val="Cover 4-Date"/>
    <w:basedOn w:val="a"/>
    <w:rsid w:val="00645E59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a"/>
    <w:rsid w:val="00645E59"/>
    <w:pPr>
      <w:tabs>
        <w:tab w:val="left" w:leader="dot" w:pos="8789"/>
      </w:tabs>
      <w:autoSpaceDE w:val="0"/>
      <w:autoSpaceDN w:val="0"/>
      <w:adjustRightInd w:val="0"/>
      <w:snapToGrid w:val="0"/>
      <w:spacing w:before="120"/>
      <w:ind w:left="284" w:right="284"/>
      <w:contextualSpacing w:val="0"/>
      <w:jc w:val="left"/>
      <w:textAlignment w:val="center"/>
    </w:pPr>
    <w:rPr>
      <w:rFonts w:ascii="Arial" w:eastAsia="Arial Unicode MS" w:hAnsi="Arial"/>
      <w:snapToGrid w:val="0"/>
      <w:color w:val="000000"/>
      <w:sz w:val="20"/>
      <w:szCs w:val="26"/>
      <w:lang w:eastAsia="ja-JP"/>
    </w:r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645E59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645E59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645E59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645E59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645E59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645E59"/>
    <w:pPr>
      <w:outlineLvl w:val="2"/>
    </w:pPr>
  </w:style>
  <w:style w:type="paragraph" w:customStyle="1" w:styleId="TableBlock">
    <w:name w:val="Table Block"/>
    <w:basedOn w:val="TableText"/>
    <w:rsid w:val="00645E59"/>
    <w:pPr>
      <w:jc w:val="both"/>
    </w:pPr>
  </w:style>
  <w:style w:type="paragraph" w:customStyle="1" w:styleId="TableHead">
    <w:name w:val="Table Head"/>
    <w:basedOn w:val="TableText"/>
    <w:rsid w:val="00645E59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645E59"/>
    <w:pPr>
      <w:outlineLvl w:val="9"/>
    </w:pPr>
  </w:style>
  <w:style w:type="paragraph" w:customStyle="1" w:styleId="Hesber">
    <w:name w:val="Hesber"/>
    <w:basedOn w:val="a"/>
    <w:rsid w:val="00645E59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645E59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645E59"/>
    <w:rPr>
      <w:vertAlign w:val="superscript"/>
    </w:rPr>
  </w:style>
  <w:style w:type="paragraph" w:customStyle="1" w:styleId="HesberHeading">
    <w:name w:val="Hesber Heading"/>
    <w:basedOn w:val="Hesber"/>
    <w:rsid w:val="00645E59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645E59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645E59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645E59"/>
    <w:rPr>
      <w:vertAlign w:val="superscript"/>
    </w:rPr>
  </w:style>
  <w:style w:type="paragraph" w:customStyle="1" w:styleId="TableBlockOutdent">
    <w:name w:val="Table BlockOutdent"/>
    <w:basedOn w:val="TableBlock"/>
    <w:rsid w:val="00645E59"/>
    <w:pPr>
      <w:ind w:left="624" w:hanging="624"/>
    </w:pPr>
  </w:style>
  <w:style w:type="paragraph" w:styleId="a8">
    <w:name w:val="header"/>
    <w:basedOn w:val="a"/>
    <w:rsid w:val="00645E59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645E59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645E59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645E59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645E59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5471F5"/>
    <w:rPr>
      <w:rFonts w:ascii="Arial" w:eastAsia="Arial Unicode MS" w:hAnsi="Arial" w:cs="David"/>
      <w:snapToGrid w:val="0"/>
      <w:sz w:val="14"/>
    </w:rPr>
  </w:style>
  <w:style w:type="character" w:customStyle="1" w:styleId="default">
    <w:name w:val="default"/>
    <w:basedOn w:val="a0"/>
    <w:rsid w:val="005471F5"/>
    <w:rPr>
      <w:rFonts w:ascii="Times New Roman" w:hAnsi="Times New Roman" w:cs="Times New Roman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645E59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645E59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645E59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645E59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645E59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645E59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645E59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645E59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645E59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645E59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645E59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645E59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645E59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645E59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645E59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645E59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645E59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645E59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645E59"/>
    <w:rPr>
      <w:rFonts w:eastAsia="Times New Roman"/>
    </w:rPr>
  </w:style>
  <w:style w:type="paragraph" w:styleId="af">
    <w:name w:val="List Paragraph"/>
    <w:basedOn w:val="a"/>
    <w:uiPriority w:val="34"/>
    <w:qFormat/>
    <w:rsid w:val="00645E59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64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645E5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645E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645E59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645E59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9191f7e1bb085ece6465964dba42d44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fb4ed97e084053ed652bcef757b4ab45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6B33-9BD0-45B1-BB9D-985C7284F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C5713A-C577-4B5E-9520-AD58973A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14</cp:revision>
  <cp:lastPrinted>2020-11-26T09:29:00Z</cp:lastPrinted>
  <dcterms:created xsi:type="dcterms:W3CDTF">2015-04-20T09:58:00Z</dcterms:created>
  <dcterms:modified xsi:type="dcterms:W3CDTF">2020-11-26T09:31:00Z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2148442</vt:r8>
  </property>
</Properties>
</file>