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2149174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ג'אבר עסאקלה</w:t>
      </w:r>
      <w:r>
        <w:br/>
      </w:r>
      <w:r>
        <w:rPr>
          <w:rFonts w:hint="cs"/>
          <w:b/>
          <w:bCs/>
          <w:rtl/>
        </w:rPr>
        <w:t xml:space="preserve"> </w:t>
      </w:r>
      <w:r>
        <w:tab/>
      </w:r>
      <w:r>
        <w:tab/>
      </w:r>
      <w:r>
        <w:tab/>
      </w:r>
      <w:r>
        <w:tab/>
      </w:r>
      <w:r>
        <w:rPr>
          <w:rFonts w:hint="cs"/>
          <w:b/>
          <w:bCs/>
          <w:rtl/>
        </w:rPr>
        <w:t>איימן עודה</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יוסף ג'בארין</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05226794" w:rsidR="00E13C27" w:rsidRPr="00E06736" w:rsidRDefault="00904591" w:rsidP="005E0908">
      <w:pPr>
        <w:pStyle w:val="David"/>
        <w:spacing w:before="0" w:line="240" w:lineRule="auto"/>
        <w:ind w:left="3544"/>
        <w:rPr>
          <w:rtl/>
        </w:rPr>
      </w:pPr>
      <w:r>
        <w:t xml:space="preserve"> </w:t>
      </w:r>
      <w:bookmarkStart w:id="4" w:name="Private_Number"/>
      <w:r w:rsidR="005E0908">
        <w:rPr>
          <w:rtl/>
        </w:rPr>
        <w:tab/>
      </w:r>
      <w:r w:rsidR="005E0908">
        <w:rPr>
          <w:rtl/>
        </w:rPr>
        <w:tab/>
      </w:r>
      <w:r w:rsidR="005E0908">
        <w:rPr>
          <w:rtl/>
        </w:rPr>
        <w:tab/>
      </w:r>
      <w:r w:rsidR="005E0908">
        <w:rPr>
          <w:rtl/>
        </w:rPr>
        <w:tab/>
      </w:r>
      <w:r>
        <w:rPr>
          <w:rFonts w:hint="cs"/>
          <w:rtl/>
        </w:rPr>
        <w:t>פ/2436/23</w:t>
      </w:r>
      <w:bookmarkEnd w:id="4"/>
    </w:p>
    <w:p w14:paraId="5D180886" w14:textId="77777777" w:rsidR="00FB39DE" w:rsidRDefault="00FB39DE" w:rsidP="00FB39DE">
      <w:pPr>
        <w:pStyle w:val="HeadHatzaotHok"/>
        <w:spacing w:before="0"/>
        <w:rPr>
          <w:rtl/>
        </w:rPr>
      </w:pPr>
      <w:bookmarkStart w:id="5" w:name="LGS_Subject"/>
    </w:p>
    <w:p w14:paraId="2F50EDFF" w14:textId="46D3BA1E" w:rsidR="00FB39DE" w:rsidRDefault="00A443CF" w:rsidP="00FB39DE">
      <w:pPr>
        <w:pStyle w:val="HeadHatzaotHok"/>
        <w:spacing w:before="0"/>
        <w:rPr>
          <w:rtl/>
        </w:rPr>
      </w:pPr>
      <w:bookmarkStart w:id="6" w:name="_GoBack"/>
      <w:bookmarkEnd w:id="6"/>
      <w:r>
        <w:rPr>
          <w:rFonts w:hint="cs"/>
          <w:rtl/>
        </w:rPr>
        <w:t xml:space="preserve">הצעת חוק התכנון והבנייה (תיקון </w:t>
      </w:r>
      <w:r w:rsidR="00FB39DE">
        <w:rPr>
          <w:rFonts w:hint="eastAsia"/>
          <w:rtl/>
        </w:rPr>
        <w:t>–</w:t>
      </w:r>
      <w:r>
        <w:rPr>
          <w:rFonts w:hint="cs"/>
          <w:rtl/>
        </w:rPr>
        <w:t xml:space="preserve"> ייצוג הולם לאוכלוסייה הערבית במוסדות התכנון), </w:t>
      </w:r>
    </w:p>
    <w:p w14:paraId="7F6961AD" w14:textId="4EC72EA5" w:rsidR="00E13C27" w:rsidRPr="00F67051" w:rsidRDefault="00A443CF" w:rsidP="00FB39DE">
      <w:pPr>
        <w:pStyle w:val="HeadHatzaotHok"/>
        <w:spacing w:before="0"/>
        <w:rPr>
          <w:rtl/>
        </w:rPr>
      </w:pPr>
      <w:r>
        <w:rPr>
          <w:rFonts w:hint="cs"/>
          <w:rtl/>
        </w:rPr>
        <w:t>התשפ"א–2020</w:t>
      </w:r>
      <w:bookmarkEnd w:id="5"/>
    </w:p>
    <w:p w14:paraId="7F6961AE" w14:textId="77777777" w:rsidR="00E13C27" w:rsidRDefault="00E13C27" w:rsidP="00FB39DE">
      <w:pPr>
        <w:pStyle w:val="HeadDivreiHesber"/>
        <w:spacing w:before="0" w:after="0"/>
        <w:jc w:val="both"/>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2"/>
        <w:gridCol w:w="624"/>
        <w:gridCol w:w="4650"/>
      </w:tblGrid>
      <w:tr w:rsidR="008E5F35" w:rsidRPr="00A63242" w14:paraId="3207F311" w14:textId="77777777" w:rsidTr="00A1069E">
        <w:trPr>
          <w:cantSplit/>
          <w:trHeight w:val="60"/>
        </w:trPr>
        <w:tc>
          <w:tcPr>
            <w:tcW w:w="1871" w:type="dxa"/>
          </w:tcPr>
          <w:p w14:paraId="189B0717" w14:textId="77777777" w:rsidR="008E5F35" w:rsidRPr="00A63242" w:rsidRDefault="008E5F35" w:rsidP="00A1069E">
            <w:pPr>
              <w:pStyle w:val="TableSideHeading"/>
              <w:keepLines w:val="0"/>
            </w:pPr>
            <w:r w:rsidRPr="0019344D">
              <w:rPr>
                <w:rtl/>
              </w:rPr>
              <w:t>הוספת סעיף 48ב1</w:t>
            </w:r>
          </w:p>
        </w:tc>
        <w:tc>
          <w:tcPr>
            <w:tcW w:w="624" w:type="dxa"/>
          </w:tcPr>
          <w:p w14:paraId="0E6BB39B" w14:textId="77777777" w:rsidR="008E5F35" w:rsidRPr="00A63242" w:rsidRDefault="008E5F35" w:rsidP="00A1069E">
            <w:pPr>
              <w:pStyle w:val="TableText"/>
              <w:keepLines w:val="0"/>
            </w:pPr>
            <w:r w:rsidRPr="0019344D">
              <w:rPr>
                <w:rtl/>
              </w:rPr>
              <w:t>1.</w:t>
            </w:r>
          </w:p>
        </w:tc>
        <w:tc>
          <w:tcPr>
            <w:tcW w:w="7146" w:type="dxa"/>
            <w:gridSpan w:val="3"/>
          </w:tcPr>
          <w:p w14:paraId="54D60844" w14:textId="77777777" w:rsidR="008E5F35" w:rsidRPr="008E5F35" w:rsidRDefault="008E5F35" w:rsidP="005E0908">
            <w:pPr>
              <w:pStyle w:val="TableBlock"/>
              <w:rPr>
                <w:b/>
                <w:bCs/>
              </w:rPr>
            </w:pPr>
            <w:r w:rsidRPr="008E5F35">
              <w:rPr>
                <w:rtl/>
              </w:rPr>
              <w:t xml:space="preserve">בחוק התכנון </w:t>
            </w:r>
            <w:r w:rsidRPr="005E0908">
              <w:rPr>
                <w:rtl/>
              </w:rPr>
              <w:t>והבניה</w:t>
            </w:r>
            <w:r w:rsidRPr="008E5F35">
              <w:rPr>
                <w:rtl/>
              </w:rPr>
              <w:t>, התשכ"ה–1965</w:t>
            </w:r>
            <w:r w:rsidRPr="003A6C14">
              <w:rPr>
                <w:szCs w:val="20"/>
                <w:rtl/>
              </w:rPr>
              <w:footnoteReference w:id="2"/>
            </w:r>
            <w:r w:rsidRPr="003A6C14">
              <w:rPr>
                <w:szCs w:val="20"/>
                <w:rtl/>
              </w:rPr>
              <w:t xml:space="preserve"> </w:t>
            </w:r>
            <w:r w:rsidRPr="008E5F35">
              <w:rPr>
                <w:rtl/>
              </w:rPr>
              <w:t>(להלן – החוק העיקרי), אחרי סעיף 48ב יבוא:</w:t>
            </w:r>
          </w:p>
        </w:tc>
      </w:tr>
      <w:tr w:rsidR="008E5F35" w:rsidRPr="00A63242" w14:paraId="2772E8FA" w14:textId="77777777" w:rsidTr="00A1069E">
        <w:tblPrEx>
          <w:tblLook w:val="0000" w:firstRow="0" w:lastRow="0" w:firstColumn="0" w:lastColumn="0" w:noHBand="0" w:noVBand="0"/>
        </w:tblPrEx>
        <w:trPr>
          <w:cantSplit/>
        </w:trPr>
        <w:tc>
          <w:tcPr>
            <w:tcW w:w="1871" w:type="dxa"/>
            <w:tcBorders>
              <w:top w:val="nil"/>
              <w:left w:val="nil"/>
              <w:bottom w:val="nil"/>
              <w:right w:val="nil"/>
            </w:tcBorders>
          </w:tcPr>
          <w:p w14:paraId="7604AF42" w14:textId="77777777" w:rsidR="008E5F35" w:rsidRPr="00A63242" w:rsidRDefault="008E5F35" w:rsidP="00A1069E">
            <w:pPr>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624" w:type="dxa"/>
            <w:tcBorders>
              <w:top w:val="nil"/>
              <w:left w:val="nil"/>
              <w:bottom w:val="nil"/>
              <w:right w:val="nil"/>
            </w:tcBorders>
          </w:tcPr>
          <w:p w14:paraId="2CC4803F" w14:textId="77777777" w:rsidR="008E5F35" w:rsidRPr="00A63242" w:rsidRDefault="008E5F35" w:rsidP="00A1069E">
            <w:pPr>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1872" w:type="dxa"/>
            <w:tcBorders>
              <w:top w:val="nil"/>
              <w:left w:val="nil"/>
              <w:bottom w:val="nil"/>
              <w:right w:val="nil"/>
            </w:tcBorders>
          </w:tcPr>
          <w:p w14:paraId="0978C1BD" w14:textId="77777777" w:rsidR="008E5F35" w:rsidRPr="00A63242" w:rsidRDefault="008E5F35" w:rsidP="00A1069E">
            <w:pPr>
              <w:keepLines/>
              <w:tabs>
                <w:tab w:val="left" w:pos="624"/>
                <w:tab w:val="left" w:pos="1247"/>
              </w:tabs>
              <w:snapToGrid w:val="0"/>
              <w:spacing w:before="0" w:line="360" w:lineRule="auto"/>
              <w:ind w:firstLine="0"/>
              <w:jc w:val="left"/>
              <w:rPr>
                <w:rFonts w:ascii="Arial" w:eastAsia="Arial Unicode MS" w:hAnsi="Arial" w:cs="David"/>
                <w:spacing w:val="0"/>
                <w:sz w:val="20"/>
                <w:szCs w:val="26"/>
              </w:rPr>
            </w:pPr>
            <w:r w:rsidRPr="00A63242">
              <w:rPr>
                <w:rFonts w:ascii="Arial" w:eastAsia="Arial Unicode MS" w:hAnsi="Arial" w:cs="David"/>
                <w:spacing w:val="0"/>
                <w:sz w:val="26"/>
                <w:szCs w:val="26"/>
                <w:rtl/>
              </w:rPr>
              <w:t>"ייצוג הולם לאוכלוסיה הערבית</w:t>
            </w:r>
          </w:p>
        </w:tc>
        <w:tc>
          <w:tcPr>
            <w:tcW w:w="624" w:type="dxa"/>
            <w:tcBorders>
              <w:top w:val="nil"/>
              <w:left w:val="nil"/>
              <w:bottom w:val="nil"/>
              <w:right w:val="nil"/>
            </w:tcBorders>
          </w:tcPr>
          <w:p w14:paraId="78AD22C2" w14:textId="77777777" w:rsidR="008E5F35" w:rsidRPr="00A63242" w:rsidRDefault="008E5F35" w:rsidP="00A1069E">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sidRPr="00A63242">
              <w:rPr>
                <w:rFonts w:ascii="Arial" w:eastAsia="Arial Unicode MS" w:hAnsi="Arial" w:cs="David"/>
                <w:spacing w:val="0"/>
                <w:sz w:val="26"/>
                <w:szCs w:val="26"/>
                <w:rtl/>
              </w:rPr>
              <w:t>48ב1.</w:t>
            </w:r>
          </w:p>
        </w:tc>
        <w:tc>
          <w:tcPr>
            <w:tcW w:w="4650" w:type="dxa"/>
            <w:tcBorders>
              <w:top w:val="nil"/>
              <w:left w:val="nil"/>
              <w:bottom w:val="nil"/>
              <w:right w:val="nil"/>
            </w:tcBorders>
          </w:tcPr>
          <w:p w14:paraId="251B6809" w14:textId="77777777" w:rsidR="008E5F35" w:rsidRPr="00A63242" w:rsidRDefault="008E5F35" w:rsidP="00A1069E">
            <w:pPr>
              <w:keepLines/>
              <w:tabs>
                <w:tab w:val="left" w:pos="624"/>
                <w:tab w:val="left" w:pos="1247"/>
              </w:tabs>
              <w:snapToGrid w:val="0"/>
              <w:spacing w:before="0" w:line="360" w:lineRule="auto"/>
              <w:ind w:firstLine="0"/>
              <w:rPr>
                <w:rFonts w:ascii="Arial" w:eastAsia="Arial Unicode MS" w:hAnsi="Arial" w:cs="David"/>
                <w:spacing w:val="0"/>
                <w:sz w:val="26"/>
                <w:szCs w:val="26"/>
              </w:rPr>
            </w:pPr>
            <w:r w:rsidRPr="00A63242">
              <w:rPr>
                <w:rFonts w:ascii="Arial" w:eastAsia="Arial Unicode MS" w:hAnsi="Arial" w:cs="David"/>
                <w:spacing w:val="0"/>
                <w:sz w:val="26"/>
                <w:szCs w:val="26"/>
                <w:rtl/>
              </w:rPr>
              <w:t>(א)</w:t>
            </w:r>
            <w:r w:rsidRPr="00A63242">
              <w:rPr>
                <w:rFonts w:ascii="Arial" w:eastAsia="Arial Unicode MS" w:hAnsi="Arial" w:cs="David"/>
                <w:spacing w:val="0"/>
                <w:sz w:val="26"/>
                <w:szCs w:val="26"/>
                <w:rtl/>
              </w:rPr>
              <w:tab/>
              <w:t>בהרכב מוסד תכנון יינתן ביטוי הולם לייצוגה של האוכלוסייה הערבית.</w:t>
            </w:r>
          </w:p>
        </w:tc>
      </w:tr>
      <w:tr w:rsidR="008E5F35" w:rsidRPr="00A63242" w14:paraId="614EF8CD" w14:textId="77777777" w:rsidTr="00A1069E">
        <w:tblPrEx>
          <w:tblLook w:val="0000" w:firstRow="0" w:lastRow="0" w:firstColumn="0" w:lastColumn="0" w:noHBand="0" w:noVBand="0"/>
        </w:tblPrEx>
        <w:trPr>
          <w:cantSplit/>
          <w:trHeight w:val="60"/>
        </w:trPr>
        <w:tc>
          <w:tcPr>
            <w:tcW w:w="1871" w:type="dxa"/>
            <w:tcBorders>
              <w:top w:val="nil"/>
              <w:left w:val="nil"/>
              <w:bottom w:val="nil"/>
              <w:right w:val="nil"/>
            </w:tcBorders>
          </w:tcPr>
          <w:p w14:paraId="7E609223" w14:textId="77777777" w:rsidR="008E5F35" w:rsidRPr="00A63242" w:rsidRDefault="008E5F35" w:rsidP="00A1069E">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624" w:type="dxa"/>
            <w:tcBorders>
              <w:top w:val="nil"/>
              <w:left w:val="nil"/>
              <w:bottom w:val="nil"/>
              <w:right w:val="nil"/>
            </w:tcBorders>
          </w:tcPr>
          <w:p w14:paraId="59D34851" w14:textId="77777777" w:rsidR="008E5F35" w:rsidRPr="00A63242" w:rsidRDefault="008E5F35" w:rsidP="00A1069E">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1872" w:type="dxa"/>
            <w:tcBorders>
              <w:top w:val="nil"/>
              <w:left w:val="nil"/>
              <w:bottom w:val="nil"/>
              <w:right w:val="nil"/>
            </w:tcBorders>
          </w:tcPr>
          <w:p w14:paraId="198A3228" w14:textId="77777777" w:rsidR="008E5F35" w:rsidRPr="00A63242" w:rsidRDefault="008E5F35" w:rsidP="00A1069E">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624" w:type="dxa"/>
            <w:tcBorders>
              <w:top w:val="nil"/>
              <w:left w:val="nil"/>
              <w:bottom w:val="nil"/>
              <w:right w:val="nil"/>
            </w:tcBorders>
          </w:tcPr>
          <w:p w14:paraId="65B2DD21" w14:textId="77777777" w:rsidR="008E5F35" w:rsidRPr="00A63242" w:rsidRDefault="008E5F35" w:rsidP="00A1069E">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4650" w:type="dxa"/>
            <w:tcBorders>
              <w:top w:val="nil"/>
              <w:left w:val="nil"/>
              <w:bottom w:val="nil"/>
              <w:right w:val="nil"/>
            </w:tcBorders>
          </w:tcPr>
          <w:p w14:paraId="19DA2876" w14:textId="0672F24B" w:rsidR="008E5F35" w:rsidRPr="00A63242" w:rsidRDefault="008E5F35" w:rsidP="00A1069E">
            <w:pPr>
              <w:keepLines/>
              <w:tabs>
                <w:tab w:val="left" w:pos="624"/>
                <w:tab w:val="left" w:pos="1247"/>
              </w:tabs>
              <w:snapToGrid w:val="0"/>
              <w:spacing w:before="0" w:line="360" w:lineRule="auto"/>
              <w:ind w:firstLine="0"/>
              <w:rPr>
                <w:rFonts w:ascii="Arial" w:eastAsia="Arial Unicode MS" w:hAnsi="Arial" w:cs="David"/>
                <w:spacing w:val="0"/>
                <w:sz w:val="20"/>
                <w:szCs w:val="26"/>
              </w:rPr>
            </w:pPr>
            <w:r w:rsidRPr="00A63242">
              <w:rPr>
                <w:rFonts w:ascii="Arial" w:eastAsia="Arial Unicode MS" w:hAnsi="Arial" w:cs="David"/>
                <w:spacing w:val="0"/>
                <w:sz w:val="26"/>
                <w:szCs w:val="26"/>
                <w:rtl/>
              </w:rPr>
              <w:t>(ב)</w:t>
            </w:r>
            <w:r w:rsidRPr="00A63242">
              <w:rPr>
                <w:rFonts w:ascii="Arial" w:eastAsia="Arial Unicode MS" w:hAnsi="Arial" w:cs="David"/>
                <w:spacing w:val="0"/>
                <w:sz w:val="26"/>
                <w:szCs w:val="26"/>
                <w:rtl/>
              </w:rPr>
              <w:tab/>
              <w:t>עד להשגת ביטוי הולם לייצוג כאמור בסעיף קטן (א), חברים במוסדות תכנון שהם נציגי שרים או מתמנים על ידיהם יהיו, ככל שניתן בנסיבות הענ</w:t>
            </w:r>
            <w:r w:rsidR="005E0908">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ין, מקרב האוכלוסי</w:t>
            </w:r>
            <w:r w:rsidR="005E0908">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ה הערבית.</w:t>
            </w:r>
          </w:p>
        </w:tc>
      </w:tr>
      <w:tr w:rsidR="008E5F35" w:rsidRPr="00A63242" w14:paraId="754C48A6" w14:textId="77777777" w:rsidTr="00A1069E">
        <w:tblPrEx>
          <w:tblLook w:val="0000" w:firstRow="0" w:lastRow="0" w:firstColumn="0" w:lastColumn="0" w:noHBand="0" w:noVBand="0"/>
        </w:tblPrEx>
        <w:trPr>
          <w:cantSplit/>
          <w:trHeight w:val="60"/>
        </w:trPr>
        <w:tc>
          <w:tcPr>
            <w:tcW w:w="1871" w:type="dxa"/>
            <w:tcBorders>
              <w:top w:val="nil"/>
              <w:left w:val="nil"/>
              <w:bottom w:val="nil"/>
              <w:right w:val="nil"/>
            </w:tcBorders>
          </w:tcPr>
          <w:p w14:paraId="2DABCAAF" w14:textId="77777777" w:rsidR="008E5F35" w:rsidRPr="00A63242" w:rsidRDefault="008E5F35" w:rsidP="00A1069E">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624" w:type="dxa"/>
            <w:tcBorders>
              <w:top w:val="nil"/>
              <w:left w:val="nil"/>
              <w:bottom w:val="nil"/>
              <w:right w:val="nil"/>
            </w:tcBorders>
          </w:tcPr>
          <w:p w14:paraId="328B58DE" w14:textId="77777777" w:rsidR="008E5F35" w:rsidRPr="00A63242" w:rsidRDefault="008E5F35" w:rsidP="00A1069E">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1872" w:type="dxa"/>
            <w:tcBorders>
              <w:top w:val="nil"/>
              <w:left w:val="nil"/>
              <w:bottom w:val="nil"/>
              <w:right w:val="nil"/>
            </w:tcBorders>
          </w:tcPr>
          <w:p w14:paraId="26DD0674" w14:textId="77777777" w:rsidR="008E5F35" w:rsidRPr="00A63242" w:rsidRDefault="008E5F35" w:rsidP="00A1069E">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624" w:type="dxa"/>
            <w:tcBorders>
              <w:top w:val="nil"/>
              <w:left w:val="nil"/>
              <w:bottom w:val="nil"/>
              <w:right w:val="nil"/>
            </w:tcBorders>
          </w:tcPr>
          <w:p w14:paraId="084D66C3" w14:textId="77777777" w:rsidR="008E5F35" w:rsidRPr="00A63242" w:rsidRDefault="008E5F35" w:rsidP="00A1069E">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4650" w:type="dxa"/>
            <w:tcBorders>
              <w:top w:val="nil"/>
              <w:left w:val="nil"/>
              <w:bottom w:val="nil"/>
              <w:right w:val="nil"/>
            </w:tcBorders>
          </w:tcPr>
          <w:p w14:paraId="1C6BF96B" w14:textId="217D30E3" w:rsidR="008E5F35" w:rsidRPr="00A63242" w:rsidRDefault="008E5F35" w:rsidP="00A1069E">
            <w:pPr>
              <w:keepLines/>
              <w:tabs>
                <w:tab w:val="left" w:pos="624"/>
                <w:tab w:val="left" w:pos="1247"/>
              </w:tabs>
              <w:snapToGrid w:val="0"/>
              <w:spacing w:before="0" w:line="360" w:lineRule="auto"/>
              <w:ind w:firstLine="0"/>
              <w:rPr>
                <w:rFonts w:ascii="Arial" w:eastAsia="Arial Unicode MS" w:hAnsi="Arial" w:cs="David"/>
                <w:spacing w:val="0"/>
                <w:sz w:val="20"/>
                <w:szCs w:val="26"/>
              </w:rPr>
            </w:pPr>
            <w:r w:rsidRPr="00A63242">
              <w:rPr>
                <w:rFonts w:ascii="Arial" w:eastAsia="Arial Unicode MS" w:hAnsi="Arial" w:cs="David"/>
                <w:spacing w:val="0"/>
                <w:sz w:val="26"/>
                <w:szCs w:val="26"/>
                <w:rtl/>
              </w:rPr>
              <w:t>(ג)</w:t>
            </w:r>
            <w:r w:rsidRPr="00A63242">
              <w:rPr>
                <w:rFonts w:ascii="Arial" w:eastAsia="Arial Unicode MS" w:hAnsi="Arial" w:cs="David"/>
                <w:spacing w:val="0"/>
                <w:sz w:val="26"/>
                <w:szCs w:val="26"/>
                <w:rtl/>
              </w:rPr>
              <w:tab/>
              <w:t>לעני</w:t>
            </w:r>
            <w:r w:rsidR="005E0908">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ן סעיף זה, "האוכלוסי</w:t>
            </w:r>
            <w:r w:rsidR="005E0908">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ה הערבית" – לרבות האוכלוס</w:t>
            </w:r>
            <w:r w:rsidR="005E0908">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 xml:space="preserve">יה הדרוזית והצ'רקסית. </w:t>
            </w:r>
          </w:p>
        </w:tc>
      </w:tr>
      <w:tr w:rsidR="008E5F35" w:rsidRPr="00A63242" w14:paraId="246F7CCF" w14:textId="77777777" w:rsidTr="00A1069E">
        <w:tblPrEx>
          <w:tblLook w:val="0000" w:firstRow="0" w:lastRow="0" w:firstColumn="0" w:lastColumn="0" w:noHBand="0" w:noVBand="0"/>
        </w:tblPrEx>
        <w:trPr>
          <w:cantSplit/>
          <w:trHeight w:val="60"/>
        </w:trPr>
        <w:tc>
          <w:tcPr>
            <w:tcW w:w="1871" w:type="dxa"/>
            <w:tcBorders>
              <w:top w:val="nil"/>
              <w:left w:val="nil"/>
              <w:bottom w:val="nil"/>
              <w:right w:val="nil"/>
            </w:tcBorders>
          </w:tcPr>
          <w:p w14:paraId="0A8BECCA" w14:textId="77777777" w:rsidR="008E5F35" w:rsidRPr="00A63242" w:rsidRDefault="008E5F35" w:rsidP="00A1069E">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624" w:type="dxa"/>
            <w:tcBorders>
              <w:top w:val="nil"/>
              <w:left w:val="nil"/>
              <w:bottom w:val="nil"/>
              <w:right w:val="nil"/>
            </w:tcBorders>
          </w:tcPr>
          <w:p w14:paraId="3507A4D3" w14:textId="77777777" w:rsidR="008E5F35" w:rsidRPr="00A63242" w:rsidRDefault="008E5F35" w:rsidP="00A1069E">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1872" w:type="dxa"/>
            <w:tcBorders>
              <w:top w:val="nil"/>
              <w:left w:val="nil"/>
              <w:bottom w:val="nil"/>
              <w:right w:val="nil"/>
            </w:tcBorders>
          </w:tcPr>
          <w:p w14:paraId="014B0946" w14:textId="77777777" w:rsidR="008E5F35" w:rsidRPr="00A63242" w:rsidRDefault="008E5F35" w:rsidP="00A1069E">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624" w:type="dxa"/>
            <w:tcBorders>
              <w:top w:val="nil"/>
              <w:left w:val="nil"/>
              <w:bottom w:val="nil"/>
              <w:right w:val="nil"/>
            </w:tcBorders>
          </w:tcPr>
          <w:p w14:paraId="36AF7502" w14:textId="77777777" w:rsidR="008E5F35" w:rsidRPr="00A63242" w:rsidRDefault="008E5F35" w:rsidP="00A1069E">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4650" w:type="dxa"/>
            <w:tcBorders>
              <w:top w:val="nil"/>
              <w:left w:val="nil"/>
              <w:bottom w:val="nil"/>
              <w:right w:val="nil"/>
            </w:tcBorders>
          </w:tcPr>
          <w:p w14:paraId="04289883" w14:textId="77777777" w:rsidR="008E5F35" w:rsidRPr="00A63242" w:rsidRDefault="008E5F35" w:rsidP="00A1069E">
            <w:pPr>
              <w:keepLines/>
              <w:tabs>
                <w:tab w:val="left" w:pos="624"/>
                <w:tab w:val="left" w:pos="1247"/>
              </w:tabs>
              <w:snapToGrid w:val="0"/>
              <w:spacing w:before="0" w:line="360" w:lineRule="auto"/>
              <w:ind w:firstLine="0"/>
              <w:rPr>
                <w:rFonts w:ascii="Arial" w:eastAsia="Arial Unicode MS" w:hAnsi="Arial" w:cs="David"/>
                <w:spacing w:val="0"/>
                <w:sz w:val="26"/>
                <w:szCs w:val="26"/>
                <w:rtl/>
              </w:rPr>
            </w:pPr>
            <w:r w:rsidRPr="00A63242">
              <w:rPr>
                <w:rFonts w:ascii="Arial" w:eastAsia="Arial Unicode MS" w:hAnsi="Arial" w:cs="David"/>
                <w:spacing w:val="0"/>
                <w:sz w:val="26"/>
                <w:szCs w:val="26"/>
                <w:rtl/>
              </w:rPr>
              <w:t>(ד)</w:t>
            </w:r>
            <w:r w:rsidRPr="00A63242">
              <w:rPr>
                <w:rFonts w:ascii="Arial" w:eastAsia="Arial Unicode MS" w:hAnsi="Arial" w:cs="David"/>
                <w:spacing w:val="0"/>
                <w:sz w:val="26"/>
                <w:szCs w:val="26"/>
                <w:rtl/>
              </w:rPr>
              <w:tab/>
              <w:t>בסעיף זה, "מוסד תכנון" – למעט ועדה מקומית."</w:t>
            </w:r>
          </w:p>
        </w:tc>
      </w:tr>
    </w:tbl>
    <w:p w14:paraId="7F6961CA" w14:textId="77777777" w:rsidR="002D1EE3" w:rsidRDefault="002D1EE3" w:rsidP="002D1EE3">
      <w:pPr>
        <w:pStyle w:val="HeadDivreiHesber"/>
        <w:rPr>
          <w:rtl/>
        </w:rPr>
      </w:pPr>
      <w:r w:rsidRPr="0027450A">
        <w:rPr>
          <w:rFonts w:hint="cs"/>
          <w:rtl/>
        </w:rPr>
        <w:t>דברי הסבר</w:t>
      </w:r>
    </w:p>
    <w:p w14:paraId="388B21D7" w14:textId="77777777" w:rsidR="008E5F35" w:rsidRPr="00A63242" w:rsidRDefault="008E5F35" w:rsidP="005E0908">
      <w:pPr>
        <w:snapToGrid w:val="0"/>
        <w:spacing w:before="0" w:line="276"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 xml:space="preserve">במוסדות התכנון השונים קיים חוסר ולעיתים אף תת ייצוג של אזרחים ערבים. הצעת חוק זו באה לתקן את ההפליה ארוכת השנים בתחום זה. </w:t>
      </w:r>
    </w:p>
    <w:p w14:paraId="4C9E0CB2" w14:textId="77777777" w:rsidR="008E5F35" w:rsidRPr="00A63242" w:rsidRDefault="008E5F35" w:rsidP="005E0908">
      <w:pPr>
        <w:snapToGrid w:val="0"/>
        <w:spacing w:before="0" w:line="276"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 xml:space="preserve">בבסיס דוקטרינת הייצוג ההולם עומדת השאיפה להביא לייצוג הולם של המיעוט, במוסדותיה השונים של המדינה ובעיקר בגופים מקבלי ההחלטות. החשיבות שבמתן ייצוג הולם נעוצה במימוש זכותו של המיעוט לשוויון בהליך קבלת ההחלטות ועיצוב המדיניות הציבורית והחברתית. ייצוג הולם של המיעוט בגוף מקבל החלטות, שמקנה למיעוט עמדת השפעה נאותה, הינו ייצוג המבטא, בקרב כלל חברי הגוף, את משקלו היחסי של המיעוט באוכלוסייה. רק ייצוג כזה בכוחו להביא לכך, שלמיעוט יהיה </w:t>
      </w:r>
      <w:r w:rsidRPr="00A63242">
        <w:rPr>
          <w:rFonts w:ascii="Arial" w:eastAsia="Arial Unicode MS" w:hAnsi="Arial" w:cs="David"/>
          <w:spacing w:val="0"/>
          <w:sz w:val="26"/>
          <w:szCs w:val="26"/>
          <w:rtl/>
        </w:rPr>
        <w:lastRenderedPageBreak/>
        <w:t>סיכוי אמיתי וממשי לקבל חלקו במשאביה של החברה והמדינה, ובכלל זה בתפקידים בשירות המדינה; משאב אחרון זה הנו חשוב במיוחד, שכן התפקידים בשירות המדינה נושאים עמם אפשרות להשפיע בעניינים רבים, ובהם חלוקת משאבים כספיים.</w:t>
      </w:r>
    </w:p>
    <w:p w14:paraId="6659EF77" w14:textId="77777777" w:rsidR="008E5F35" w:rsidRPr="00A63242" w:rsidRDefault="008E5F35" w:rsidP="005E0908">
      <w:pPr>
        <w:snapToGrid w:val="0"/>
        <w:spacing w:before="0" w:line="276"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 xml:space="preserve">הוראות חוק שונות, מעגנות כיום את זכותם של אזרחי מדינת ישראל הערבים לשוויון ולייצוג הולם בשירות המדינה ובגופים ציבוריים ספציפיים. חוק שירות המדינה (מינויים), כולל הוראה כללית המבטיחה ייצוג הולם לאוכלוסייה הערבית בקרב העובדים בשירות המדינה. בצד הוראה זו נקבעו הוראות מיוחדות להבטחת ייצוג הולם בגופים ספציפיים. כך לדוגמא, קובע  סעיף 18א1 לחוק החברות הממשלתיות כי בהרכב דירקטוריון של חברה ממשלתית יינתן ביטוי הולם לייצוגה של האוכלוסייה הערבית. בנוסף, מכוח סעיף 60א לחוק החברות הממשלתיות, חלות הוראות סעיף 18א1 לעיל על מינויים שנעשו מכוח חוק בגופים נוספים שהוקמו בחיקוק. סעיף 60א(5) קובע כי "גופים שהוקמו בחיקוק" הם גופים המפורטים בתוספת השניה לחוק זה. פרט 9 מונה את המועצה הארצית לתכנון ובניה, ופרט 17 מונה את הועדה הארצית לתכנון ולבניה של תשתיות לאומיות, שהרכבן כולל נציגי ממשלה וחברים המתמנים ע"י השרים. </w:t>
      </w:r>
    </w:p>
    <w:p w14:paraId="23448A2A" w14:textId="77777777" w:rsidR="008E5F35" w:rsidRPr="00A63242" w:rsidRDefault="008E5F35" w:rsidP="005E0908">
      <w:pPr>
        <w:snapToGrid w:val="0"/>
        <w:spacing w:before="0" w:line="276"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בנוסף לשני מוסדות תכנון אלה מוחלת החובה, מכוח סעיף 60א לעיל, על גופים אחרים, ביניהם המועצה המייעצת, המוקמת מכח הוראות החוק לעידוד השקעות הון, התשי"ט–1959, ושהרכבה כולל נציגים של משרדים ממשלתיים המתמנים על ידי השרים, וכן נציגי ציבור המתמנים על ידי הממשלה.</w:t>
      </w:r>
    </w:p>
    <w:p w14:paraId="1775303F" w14:textId="77777777" w:rsidR="008E5F35" w:rsidRPr="00A63242" w:rsidRDefault="008E5F35" w:rsidP="005E0908">
      <w:pPr>
        <w:snapToGrid w:val="0"/>
        <w:spacing w:before="0" w:line="276"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 xml:space="preserve">אף שהאמירה הגלומה בחוקים אלו ברורה היא, בפועל, ייצוג ערביי ישראל במוסדות התכנון אינו משתפר. משום כך יש צורך להביא לתיקון המציאות הקיימת בדרך של הוראת חוק ממוקדת. בדומה לחוקים המובאים לעיל, מטרתה של הצעת חוק זו היא לתת ביטוי קונקרטי לדוקטרינת הייצוג ההולם גם במוסדות התכנון השונים בישראל, לרבות בהרכב הועדות המחוזיות.  </w:t>
      </w:r>
    </w:p>
    <w:p w14:paraId="05C8A334" w14:textId="77777777" w:rsidR="008E5F35" w:rsidRPr="00A63242" w:rsidRDefault="008E5F35" w:rsidP="005E0908">
      <w:pPr>
        <w:snapToGrid w:val="0"/>
        <w:spacing w:before="0" w:line="276" w:lineRule="auto"/>
        <w:rPr>
          <w:rFonts w:ascii="Arial" w:eastAsia="Arial Unicode MS" w:hAnsi="Arial" w:cs="David"/>
          <w:spacing w:val="0"/>
          <w:sz w:val="20"/>
          <w:szCs w:val="26"/>
        </w:rPr>
      </w:pPr>
      <w:r w:rsidRPr="00A63242">
        <w:rPr>
          <w:rFonts w:ascii="Arial" w:eastAsia="Arial Unicode MS" w:hAnsi="Arial" w:cs="David"/>
          <w:spacing w:val="0"/>
          <w:sz w:val="26"/>
          <w:szCs w:val="26"/>
          <w:rtl/>
        </w:rPr>
        <w:t>מוסדות התכנון הם גופים ציבוריים בעלי עוצמה וחשיבות ייחודיים בכל הקשור לתכנון ולבניה ולהקצאת משאבי קרקע יקרי ערך.</w:t>
      </w:r>
    </w:p>
    <w:p w14:paraId="7D29ABD9" w14:textId="69EB031F" w:rsidR="008E5F35" w:rsidRPr="00A63242" w:rsidRDefault="008E5F35" w:rsidP="005E0908">
      <w:pPr>
        <w:snapToGrid w:val="0"/>
        <w:spacing w:before="0" w:line="276"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המיעוט הערבי הופלה לאורך השנים ועודנו מופלה בתחומי הקרקעות, התכנון והדיור ותחומים אחרים הנמצאים בתחום אחריותן של  הועדות המחוזיות לתכנון ובניה. ברור הוא שייצוג הולם של האוכלוסי</w:t>
      </w:r>
      <w:r w:rsidR="005E0908">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ה הערבית בו</w:t>
      </w:r>
      <w:r w:rsidR="005E0908">
        <w:rPr>
          <w:rFonts w:ascii="Arial" w:eastAsia="Arial Unicode MS" w:hAnsi="Arial" w:cs="David" w:hint="cs"/>
          <w:spacing w:val="0"/>
          <w:sz w:val="26"/>
          <w:szCs w:val="26"/>
          <w:rtl/>
        </w:rPr>
        <w:t>ו</w:t>
      </w:r>
      <w:r w:rsidRPr="00A63242">
        <w:rPr>
          <w:rFonts w:ascii="Arial" w:eastAsia="Arial Unicode MS" w:hAnsi="Arial" w:cs="David"/>
          <w:spacing w:val="0"/>
          <w:sz w:val="26"/>
          <w:szCs w:val="26"/>
          <w:rtl/>
        </w:rPr>
        <w:t>עדות אלה יש בו כדי להצביע הן על מתן קול לאוכלוס</w:t>
      </w:r>
      <w:r w:rsidR="005E0908">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יה הערבית באופן ההולם את ייצוגה באוכלוסי</w:t>
      </w:r>
      <w:r w:rsidR="005E0908">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ה, והן על סלילת דרך, תרתי משמע, לשוויון אמיתי של אזרחי המדינה הערביים במרחב ניכר של תחומי החיים. שיעור הייצוג יקבע, בין היתר, על סמך ההנחה, כי בהיעדרה של הפליה, האוכלוסייה הערבית הייתה זוכה לייצוג בשיעורה היחסי באוכלוסי</w:t>
      </w:r>
      <w:r w:rsidR="005E0908">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 xml:space="preserve">ה בגופים ובמוסדות השונים של המדינה. </w:t>
      </w:r>
    </w:p>
    <w:p w14:paraId="42B2993F" w14:textId="77777777" w:rsidR="008E5F35" w:rsidRPr="00A63242" w:rsidRDefault="008E5F35" w:rsidP="005E0908">
      <w:pPr>
        <w:snapToGrid w:val="0"/>
        <w:spacing w:before="0" w:line="276"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על כן, מוצע לקבוע חובת ייצוג הולם בכל מוסדות התכנון, שתחול רק לגבי חברים במוסדות שהם נציגי שרים או מתמנים על ידיהם. עד להשגת ייצוג הולם, יחויבו השרים הממנים להעדיף מינוי נציג ערבי במוסדות התכנון, ככל שהדבר ניתן. שר הפנים הוא שיפקח על כך.</w:t>
      </w:r>
    </w:p>
    <w:p w14:paraId="7F6961CB" w14:textId="7B9BD85F" w:rsidR="00E13C27" w:rsidRDefault="008E5F35" w:rsidP="005E0908">
      <w:pPr>
        <w:pStyle w:val="Hesber"/>
        <w:spacing w:line="276" w:lineRule="auto"/>
        <w:rPr>
          <w:sz w:val="26"/>
          <w:rtl/>
        </w:rPr>
      </w:pPr>
      <w:r w:rsidRPr="00A63242">
        <w:rPr>
          <w:sz w:val="26"/>
          <w:rtl/>
        </w:rPr>
        <w:t>הצע</w:t>
      </w:r>
      <w:r w:rsidR="000309AB">
        <w:rPr>
          <w:rFonts w:hint="cs"/>
          <w:sz w:val="26"/>
          <w:rtl/>
        </w:rPr>
        <w:t>ו</w:t>
      </w:r>
      <w:r w:rsidRPr="00A63242">
        <w:rPr>
          <w:sz w:val="26"/>
          <w:rtl/>
        </w:rPr>
        <w:t xml:space="preserve">ת חוק </w:t>
      </w:r>
      <w:r>
        <w:rPr>
          <w:rFonts w:hint="cs"/>
          <w:sz w:val="26"/>
          <w:rtl/>
        </w:rPr>
        <w:t>זה</w:t>
      </w:r>
      <w:r w:rsidR="000309AB">
        <w:rPr>
          <w:rFonts w:hint="cs"/>
          <w:sz w:val="26"/>
          <w:rtl/>
        </w:rPr>
        <w:t>ות</w:t>
      </w:r>
      <w:r>
        <w:rPr>
          <w:rFonts w:hint="cs"/>
          <w:sz w:val="26"/>
          <w:rtl/>
        </w:rPr>
        <w:t xml:space="preserve"> הונח</w:t>
      </w:r>
      <w:r w:rsidR="000309AB">
        <w:rPr>
          <w:rFonts w:hint="cs"/>
          <w:sz w:val="26"/>
          <w:rtl/>
        </w:rPr>
        <w:t>ו</w:t>
      </w:r>
      <w:r>
        <w:rPr>
          <w:rFonts w:hint="cs"/>
          <w:sz w:val="26"/>
          <w:rtl/>
        </w:rPr>
        <w:t xml:space="preserve"> על שולחן הכנסת התשע-עשרה על ידי חבר הכנסת חנא סויד וקבוצת חברי כנסת (פ/420/19)</w:t>
      </w:r>
      <w:r w:rsidR="000309AB">
        <w:rPr>
          <w:rFonts w:hint="cs"/>
          <w:sz w:val="26"/>
          <w:rtl/>
        </w:rPr>
        <w:t xml:space="preserve">, </w:t>
      </w:r>
      <w:r w:rsidR="001938DD" w:rsidRPr="001938DD">
        <w:rPr>
          <w:sz w:val="26"/>
          <w:rtl/>
        </w:rPr>
        <w:t>על שולחן הכנסת העשרים על ידי חבר הכנסת איימן עוד</w:t>
      </w:r>
      <w:r w:rsidR="001938DD">
        <w:rPr>
          <w:sz w:val="26"/>
          <w:rtl/>
        </w:rPr>
        <w:t>ה וקבוצת חברי הכנסת (פ/841/20)</w:t>
      </w:r>
      <w:r w:rsidR="001938DD">
        <w:rPr>
          <w:rFonts w:hint="cs"/>
          <w:sz w:val="26"/>
          <w:rtl/>
        </w:rPr>
        <w:t xml:space="preserve">, </w:t>
      </w:r>
      <w:r w:rsidR="001938DD" w:rsidRPr="001938DD">
        <w:rPr>
          <w:sz w:val="26"/>
          <w:rtl/>
        </w:rPr>
        <w:t>על שולחן הכנסת העשרים ושתיים על ידי חבר הכנסת ג'אבר עסאקל</w:t>
      </w:r>
      <w:r w:rsidR="001938DD">
        <w:rPr>
          <w:sz w:val="26"/>
          <w:rtl/>
        </w:rPr>
        <w:t>ה וקבוצת חברי הכנסת (פ/1410/22)</w:t>
      </w:r>
      <w:r w:rsidR="001938DD">
        <w:rPr>
          <w:rFonts w:hint="cs"/>
          <w:sz w:val="26"/>
          <w:rtl/>
        </w:rPr>
        <w:t xml:space="preserve"> ו</w:t>
      </w:r>
      <w:r w:rsidR="000309AB">
        <w:rPr>
          <w:rFonts w:hint="cs"/>
          <w:sz w:val="26"/>
          <w:rtl/>
        </w:rPr>
        <w:t>על שולחן הכנסת העשרים ושלוש</w:t>
      </w:r>
      <w:r w:rsidR="00033A66">
        <w:rPr>
          <w:rFonts w:hint="cs"/>
          <w:sz w:val="26"/>
          <w:rtl/>
        </w:rPr>
        <w:t xml:space="preserve"> על ידי חבר הכנסת </w:t>
      </w:r>
      <w:r w:rsidR="00A95582">
        <w:rPr>
          <w:rFonts w:hint="cs"/>
          <w:sz w:val="26"/>
          <w:rtl/>
        </w:rPr>
        <w:t xml:space="preserve">איימן עודה (פ/2204/23) ועל ידי חבר הכנסת ג'אבר </w:t>
      </w:r>
      <w:r w:rsidR="00F02BDF">
        <w:rPr>
          <w:rFonts w:hint="cs"/>
          <w:sz w:val="26"/>
          <w:rtl/>
        </w:rPr>
        <w:t>עסאקלה</w:t>
      </w:r>
      <w:r w:rsidR="005E0908">
        <w:rPr>
          <w:rFonts w:hint="cs"/>
          <w:sz w:val="26"/>
          <w:rtl/>
        </w:rPr>
        <w:t xml:space="preserve"> וקבוצת חברי הכנסת (פ/1009/23,</w:t>
      </w:r>
      <w:r w:rsidR="00274F6A">
        <w:rPr>
          <w:rFonts w:hint="cs"/>
          <w:sz w:val="26"/>
          <w:rtl/>
        </w:rPr>
        <w:t xml:space="preserve"> הוסרה מסדר היום ביום כ"ד</w:t>
      </w:r>
      <w:r w:rsidR="005E0908">
        <w:rPr>
          <w:rFonts w:hint="cs"/>
          <w:sz w:val="26"/>
          <w:rtl/>
        </w:rPr>
        <w:t xml:space="preserve"> בחשון התשפ"א (11 בנובמבר 2020))</w:t>
      </w:r>
      <w:r w:rsidR="00274F6A">
        <w:rPr>
          <w:rFonts w:hint="cs"/>
          <w:sz w:val="26"/>
          <w:rtl/>
        </w:rPr>
        <w:t>.</w:t>
      </w:r>
    </w:p>
    <w:p w14:paraId="24C8B46B" w14:textId="77777777" w:rsidR="005E0908" w:rsidRDefault="005E0908" w:rsidP="005E0908">
      <w:pPr>
        <w:pStyle w:val="Hesber"/>
        <w:spacing w:line="276" w:lineRule="auto"/>
        <w:rPr>
          <w:sz w:val="26"/>
          <w:rtl/>
        </w:rPr>
      </w:pPr>
    </w:p>
    <w:p w14:paraId="69EA254C" w14:textId="77777777" w:rsidR="005E0908" w:rsidRPr="005E0908" w:rsidRDefault="005E0908" w:rsidP="005E0908">
      <w:pPr>
        <w:pStyle w:val="Hesber"/>
        <w:spacing w:line="276" w:lineRule="auto"/>
        <w:rPr>
          <w:sz w:val="26"/>
          <w:rtl/>
        </w:rPr>
      </w:pPr>
      <w:r w:rsidRPr="005E0908">
        <w:rPr>
          <w:sz w:val="26"/>
          <w:rtl/>
        </w:rPr>
        <w:t>---------------------------------</w:t>
      </w:r>
    </w:p>
    <w:p w14:paraId="56A5C9B9" w14:textId="77777777" w:rsidR="005E0908" w:rsidRPr="005E0908" w:rsidRDefault="005E0908" w:rsidP="005E0908">
      <w:pPr>
        <w:pStyle w:val="Hesber"/>
        <w:spacing w:line="276" w:lineRule="auto"/>
        <w:rPr>
          <w:sz w:val="26"/>
          <w:rtl/>
        </w:rPr>
      </w:pPr>
      <w:r w:rsidRPr="005E0908">
        <w:rPr>
          <w:sz w:val="26"/>
          <w:rtl/>
        </w:rPr>
        <w:t>הוגשה ליו"ר הכנסת והסגנים</w:t>
      </w:r>
    </w:p>
    <w:p w14:paraId="31389460" w14:textId="77777777" w:rsidR="005E0908" w:rsidRPr="005E0908" w:rsidRDefault="005E0908" w:rsidP="005E0908">
      <w:pPr>
        <w:pStyle w:val="Hesber"/>
        <w:spacing w:line="276" w:lineRule="auto"/>
        <w:rPr>
          <w:sz w:val="26"/>
          <w:rtl/>
        </w:rPr>
      </w:pPr>
      <w:r w:rsidRPr="005E0908">
        <w:rPr>
          <w:sz w:val="26"/>
          <w:rtl/>
        </w:rPr>
        <w:t>והונחה על שולחן הכנסת ביום</w:t>
      </w:r>
    </w:p>
    <w:p w14:paraId="42BE22BF" w14:textId="62A0FC5E" w:rsidR="005E0908" w:rsidRPr="003A6C14" w:rsidRDefault="005E0908" w:rsidP="005E0908">
      <w:pPr>
        <w:pStyle w:val="Hesber"/>
        <w:spacing w:line="276" w:lineRule="auto"/>
        <w:rPr>
          <w:sz w:val="26"/>
          <w:rtl/>
        </w:rPr>
      </w:pPr>
      <w:r w:rsidRPr="005E0908">
        <w:rPr>
          <w:sz w:val="26"/>
          <w:rtl/>
        </w:rPr>
        <w:t>י"ד בכסלו התשפ"א - 30.11.20</w:t>
      </w:r>
    </w:p>
    <w:sectPr w:rsidR="005E0908" w:rsidRPr="003A6C14"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FB39DE">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8195332" w14:textId="77777777" w:rsidR="008E5F35" w:rsidRDefault="008E5F35" w:rsidP="008E5F35">
      <w:pPr>
        <w:pStyle w:val="a4"/>
      </w:pPr>
      <w:r>
        <w:rPr>
          <w:rStyle w:val="a5"/>
        </w:rPr>
        <w:footnoteRef/>
      </w:r>
      <w:r>
        <w:rPr>
          <w:sz w:val="20"/>
          <w:rtl/>
        </w:rPr>
        <w:t xml:space="preserve"> ס"ח התשכ"ה, עמ' 307.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09AB"/>
    <w:rsid w:val="00033A66"/>
    <w:rsid w:val="00063A3E"/>
    <w:rsid w:val="00072CAC"/>
    <w:rsid w:val="0007681A"/>
    <w:rsid w:val="000A542E"/>
    <w:rsid w:val="00102B6B"/>
    <w:rsid w:val="001052D4"/>
    <w:rsid w:val="0010644B"/>
    <w:rsid w:val="001207F8"/>
    <w:rsid w:val="00121924"/>
    <w:rsid w:val="001279A8"/>
    <w:rsid w:val="0014195F"/>
    <w:rsid w:val="00152609"/>
    <w:rsid w:val="00153E1B"/>
    <w:rsid w:val="001938DD"/>
    <w:rsid w:val="001A0623"/>
    <w:rsid w:val="001B4819"/>
    <w:rsid w:val="001C23B0"/>
    <w:rsid w:val="001D7AAF"/>
    <w:rsid w:val="00203A7F"/>
    <w:rsid w:val="0021633A"/>
    <w:rsid w:val="002200A1"/>
    <w:rsid w:val="002362BF"/>
    <w:rsid w:val="00241B97"/>
    <w:rsid w:val="002425D1"/>
    <w:rsid w:val="00246756"/>
    <w:rsid w:val="00251E58"/>
    <w:rsid w:val="00254605"/>
    <w:rsid w:val="00266D86"/>
    <w:rsid w:val="002728B4"/>
    <w:rsid w:val="00274F6A"/>
    <w:rsid w:val="0027600C"/>
    <w:rsid w:val="00292712"/>
    <w:rsid w:val="002A487D"/>
    <w:rsid w:val="002C2E29"/>
    <w:rsid w:val="002C3041"/>
    <w:rsid w:val="002D1EE3"/>
    <w:rsid w:val="002F1D80"/>
    <w:rsid w:val="003232A2"/>
    <w:rsid w:val="00325C14"/>
    <w:rsid w:val="0036422C"/>
    <w:rsid w:val="003710F6"/>
    <w:rsid w:val="00386E88"/>
    <w:rsid w:val="00396585"/>
    <w:rsid w:val="003A6C14"/>
    <w:rsid w:val="003B372B"/>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E0908"/>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5F35"/>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95582"/>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23FB6"/>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02BDF"/>
    <w:rsid w:val="00F628D6"/>
    <w:rsid w:val="00F67051"/>
    <w:rsid w:val="00F86A1E"/>
    <w:rsid w:val="00FA5E88"/>
    <w:rsid w:val="00FB39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9580A2B-5622-41AA-8F17-6E87B039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15DE5343-07B1-4407-97C9-FB79EAC72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D821B-8C77-46F4-991A-F06D7C97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662</Words>
  <Characters>3774</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15</cp:revision>
  <cp:lastPrinted>2020-11-26T09:13:00Z</cp:lastPrinted>
  <dcterms:created xsi:type="dcterms:W3CDTF">2015-04-20T09:58:00Z</dcterms:created>
  <dcterms:modified xsi:type="dcterms:W3CDTF">2020-11-26T09:13:00Z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2149174</vt:r8>
  </property>
</Properties>
</file>