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2148944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עודד פורר</w:t>
      </w:r>
      <w:bookmarkEnd w:id="3"/>
    </w:p>
    <w:p w14:paraId="27DF59F5" w14:textId="77777777" w:rsidR="005F2D6F" w:rsidRDefault="00266D86" w:rsidP="005F2D6F">
      <w:pPr>
        <w:pStyle w:val="David"/>
        <w:spacing w:before="0" w:line="360" w:lineRule="auto"/>
        <w:ind w:left="3600"/>
        <w:rPr>
          <w:rtl/>
        </w:rPr>
      </w:pPr>
      <w:r>
        <w:t>____</w:t>
      </w:r>
      <w:r w:rsidR="00E374F2">
        <w:t>__</w:t>
      </w:r>
      <w:r>
        <w:t>________________________________________</w:t>
      </w:r>
    </w:p>
    <w:p w14:paraId="34DB4103" w14:textId="3E8AE64B" w:rsidR="00904591" w:rsidRPr="00904591" w:rsidRDefault="005F2D6F" w:rsidP="005F2D6F">
      <w:pPr>
        <w:pStyle w:val="David"/>
        <w:spacing w:before="0" w:line="360" w:lineRule="auto"/>
        <w:ind w:left="5760" w:firstLine="720"/>
        <w:rPr>
          <w:sz w:val="4"/>
          <w:szCs w:val="4"/>
          <w:rtl/>
        </w:rPr>
      </w:pPr>
      <w:r>
        <w:rPr>
          <w:rFonts w:hint="cs"/>
          <w:rtl/>
        </w:rPr>
        <w:t>פ/2427/23</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D" w14:textId="77777777" w:rsidR="00E13C27" w:rsidRPr="00F67051" w:rsidRDefault="00A443CF" w:rsidP="0021633A">
      <w:pPr>
        <w:pStyle w:val="HeadHatzaotHok"/>
        <w:rPr>
          <w:rtl/>
        </w:rPr>
      </w:pPr>
      <w:bookmarkStart w:id="4" w:name="LGS_Subject"/>
      <w:r>
        <w:rPr>
          <w:rFonts w:hint="cs"/>
          <w:rtl/>
        </w:rPr>
        <w:t>הצעת חוק הפקדות וזכויות סוציאליות לעצמאים (תיקוני חקיקה), התשפ"א–2020</w:t>
      </w:r>
      <w:bookmarkEnd w:id="4"/>
    </w:p>
    <w:p w14:paraId="308C2D95" w14:textId="77777777" w:rsidR="000F3D36" w:rsidRDefault="000F3D36" w:rsidP="000F3D36">
      <w:pPr>
        <w:pStyle w:val="HeadDivreiHesber"/>
        <w:spacing w:before="0" w:after="0"/>
        <w:rPr>
          <w:rtl/>
        </w:rPr>
      </w:pPr>
    </w:p>
    <w:tbl>
      <w:tblPr>
        <w:bidiVisual/>
        <w:tblW w:w="9646" w:type="dxa"/>
        <w:tblInd w:w="-5" w:type="dxa"/>
        <w:tblLayout w:type="fixed"/>
        <w:tblCellMar>
          <w:top w:w="57" w:type="dxa"/>
          <w:left w:w="0" w:type="dxa"/>
          <w:bottom w:w="57" w:type="dxa"/>
          <w:right w:w="0" w:type="dxa"/>
        </w:tblCellMar>
        <w:tblLook w:val="01E0" w:firstRow="1" w:lastRow="1" w:firstColumn="1" w:lastColumn="1" w:noHBand="0" w:noVBand="0"/>
      </w:tblPr>
      <w:tblGrid>
        <w:gridCol w:w="1873"/>
        <w:gridCol w:w="625"/>
        <w:gridCol w:w="624"/>
        <w:gridCol w:w="1248"/>
        <w:gridCol w:w="624"/>
        <w:gridCol w:w="4652"/>
      </w:tblGrid>
      <w:tr w:rsidR="000F3D36" w:rsidRPr="00C32D27" w14:paraId="2500516A" w14:textId="77777777" w:rsidTr="003061DB">
        <w:trPr>
          <w:cantSplit/>
          <w:trHeight w:val="60"/>
        </w:trPr>
        <w:tc>
          <w:tcPr>
            <w:tcW w:w="1873" w:type="dxa"/>
          </w:tcPr>
          <w:p w14:paraId="0CBD706B" w14:textId="77777777" w:rsidR="000F3D36" w:rsidRDefault="000F3D36" w:rsidP="003061DB">
            <w:pPr>
              <w:pStyle w:val="TableSideHeading"/>
              <w:keepLines w:val="0"/>
            </w:pPr>
            <w:r>
              <w:rPr>
                <w:rFonts w:hint="cs"/>
                <w:rtl/>
              </w:rPr>
              <w:t>תיקון פקודת מס הכנסה</w:t>
            </w:r>
          </w:p>
        </w:tc>
        <w:tc>
          <w:tcPr>
            <w:tcW w:w="625" w:type="dxa"/>
          </w:tcPr>
          <w:p w14:paraId="5A8E70B1" w14:textId="77777777" w:rsidR="000F3D36" w:rsidRDefault="000F3D36" w:rsidP="003061DB">
            <w:pPr>
              <w:pStyle w:val="TableText"/>
              <w:keepLines w:val="0"/>
            </w:pPr>
            <w:r w:rsidRPr="001B104F">
              <w:rPr>
                <w:rtl/>
              </w:rPr>
              <w:t>1.</w:t>
            </w:r>
          </w:p>
        </w:tc>
        <w:tc>
          <w:tcPr>
            <w:tcW w:w="7148" w:type="dxa"/>
            <w:gridSpan w:val="4"/>
          </w:tcPr>
          <w:p w14:paraId="25861C81" w14:textId="77777777" w:rsidR="000F3D36" w:rsidRPr="00C32D27" w:rsidRDefault="000F3D36" w:rsidP="003061DB">
            <w:pPr>
              <w:pStyle w:val="TableBlock"/>
              <w:rPr>
                <w:rtl/>
              </w:rPr>
            </w:pPr>
            <w:r w:rsidRPr="00A744BA">
              <w:rPr>
                <w:sz w:val="26"/>
                <w:rtl/>
              </w:rPr>
              <w:t>בפקודת מס הכנסה</w:t>
            </w:r>
            <w:r w:rsidRPr="000A02BF">
              <w:rPr>
                <w:szCs w:val="20"/>
                <w:rtl/>
              </w:rPr>
              <w:footnoteReference w:id="2"/>
            </w:r>
            <w:r w:rsidRPr="00B30321">
              <w:rPr>
                <w:rFonts w:hint="cs"/>
                <w:sz w:val="26"/>
                <w:rtl/>
              </w:rPr>
              <w:t xml:space="preserve">, </w:t>
            </w:r>
            <w:r w:rsidRPr="00582E50">
              <w:rPr>
                <w:rFonts w:hint="eastAsia"/>
                <w:sz w:val="26"/>
                <w:rtl/>
              </w:rPr>
              <w:t>בסע</w:t>
            </w:r>
            <w:r w:rsidRPr="00425BD2">
              <w:rPr>
                <w:sz w:val="26"/>
                <w:rtl/>
              </w:rPr>
              <w:t xml:space="preserve">יף 17, </w:t>
            </w:r>
            <w:r w:rsidRPr="00425BD2">
              <w:rPr>
                <w:rFonts w:hint="eastAsia"/>
                <w:sz w:val="26"/>
                <w:rtl/>
              </w:rPr>
              <w:t>אחרי</w:t>
            </w:r>
            <w:r w:rsidRPr="00425BD2">
              <w:rPr>
                <w:sz w:val="26"/>
                <w:rtl/>
              </w:rPr>
              <w:t xml:space="preserve"> </w:t>
            </w:r>
            <w:r w:rsidRPr="00425BD2">
              <w:rPr>
                <w:rFonts w:hint="eastAsia"/>
                <w:sz w:val="26"/>
                <w:rtl/>
              </w:rPr>
              <w:t>פסקה</w:t>
            </w:r>
            <w:r w:rsidRPr="00425BD2">
              <w:rPr>
                <w:sz w:val="26"/>
                <w:rtl/>
              </w:rPr>
              <w:t xml:space="preserve"> (15) יבוא:</w:t>
            </w:r>
            <w:r>
              <w:rPr>
                <w:rFonts w:hint="cs"/>
                <w:b/>
                <w:bCs/>
                <w:sz w:val="26"/>
                <w:rtl/>
              </w:rPr>
              <w:t xml:space="preserve"> </w:t>
            </w:r>
          </w:p>
        </w:tc>
      </w:tr>
      <w:tr w:rsidR="000F3D36" w:rsidRPr="00C32D27" w14:paraId="54B475E5" w14:textId="77777777" w:rsidTr="003061DB">
        <w:trPr>
          <w:cantSplit/>
          <w:trHeight w:val="60"/>
        </w:trPr>
        <w:tc>
          <w:tcPr>
            <w:tcW w:w="1873" w:type="dxa"/>
          </w:tcPr>
          <w:p w14:paraId="18400D1A" w14:textId="77777777" w:rsidR="000F3D36" w:rsidRDefault="000F3D36" w:rsidP="003061DB">
            <w:pPr>
              <w:pStyle w:val="TableSideHeading"/>
              <w:keepLines w:val="0"/>
            </w:pPr>
          </w:p>
        </w:tc>
        <w:tc>
          <w:tcPr>
            <w:tcW w:w="625" w:type="dxa"/>
          </w:tcPr>
          <w:p w14:paraId="6C435DC2" w14:textId="77777777" w:rsidR="000F3D36" w:rsidRDefault="000F3D36" w:rsidP="003061DB">
            <w:pPr>
              <w:pStyle w:val="TableText"/>
              <w:keepLines w:val="0"/>
            </w:pPr>
          </w:p>
        </w:tc>
        <w:tc>
          <w:tcPr>
            <w:tcW w:w="7148" w:type="dxa"/>
            <w:gridSpan w:val="4"/>
          </w:tcPr>
          <w:p w14:paraId="6F70C7F8" w14:textId="77777777" w:rsidR="000F3D36" w:rsidRPr="00C32D27" w:rsidRDefault="000F3D36" w:rsidP="003061DB">
            <w:pPr>
              <w:pStyle w:val="TableBlock"/>
            </w:pPr>
            <w:r>
              <w:rPr>
                <w:rFonts w:hint="cs"/>
                <w:rtl/>
              </w:rPr>
              <w:t>"(16)</w:t>
            </w:r>
            <w:r>
              <w:rPr>
                <w:rtl/>
              </w:rPr>
              <w:tab/>
            </w:r>
            <w:r>
              <w:rPr>
                <w:rFonts w:hint="cs"/>
                <w:rtl/>
              </w:rPr>
              <w:t>הכנסה לפי סעיף 2(1)</w:t>
            </w:r>
            <w:r w:rsidRPr="005B1E95">
              <w:rPr>
                <w:rFonts w:hint="cs"/>
                <w:rtl/>
              </w:rPr>
              <w:t>,</w:t>
            </w:r>
            <w:r>
              <w:rPr>
                <w:rFonts w:hint="cs"/>
                <w:rtl/>
              </w:rPr>
              <w:t xml:space="preserve"> של נישום שהוא יחיד, יראו אותה ואת התשלומים הסוציאליים הנלווים לה, לעניין הוראות לפי פקודה זו, כהשתכרות מעבודה לפי סעיף 2(2), וההכנסה והתשלומים הנלווים כאמור יותרו בניכוי מיתרת </w:t>
            </w:r>
            <w:r w:rsidRPr="00650D22">
              <w:rPr>
                <w:rFonts w:hint="cs"/>
                <w:rtl/>
              </w:rPr>
              <w:t>הכנסתו</w:t>
            </w:r>
            <w:r>
              <w:rPr>
                <w:rFonts w:hint="cs"/>
                <w:rtl/>
              </w:rPr>
              <w:t xml:space="preserve"> של הנישום; לעניין פסקה זו, "תשלומים סוציאליים" – כל אלה:</w:t>
            </w:r>
          </w:p>
        </w:tc>
      </w:tr>
      <w:tr w:rsidR="000F3D36" w:rsidRPr="00960AFB" w14:paraId="1E0B4AFD" w14:textId="77777777" w:rsidTr="003061DB">
        <w:trPr>
          <w:cantSplit/>
          <w:trHeight w:val="60"/>
        </w:trPr>
        <w:tc>
          <w:tcPr>
            <w:tcW w:w="1873" w:type="dxa"/>
          </w:tcPr>
          <w:p w14:paraId="2A1BB553" w14:textId="77777777" w:rsidR="000F3D36" w:rsidRDefault="000F3D36" w:rsidP="003061DB">
            <w:pPr>
              <w:pStyle w:val="TableSideHeading"/>
            </w:pPr>
          </w:p>
        </w:tc>
        <w:tc>
          <w:tcPr>
            <w:tcW w:w="625" w:type="dxa"/>
          </w:tcPr>
          <w:p w14:paraId="0407F08C" w14:textId="77777777" w:rsidR="000F3D36" w:rsidRDefault="000F3D36" w:rsidP="003061DB">
            <w:pPr>
              <w:pStyle w:val="TableText"/>
            </w:pPr>
          </w:p>
        </w:tc>
        <w:tc>
          <w:tcPr>
            <w:tcW w:w="624" w:type="dxa"/>
          </w:tcPr>
          <w:p w14:paraId="3FA3D199" w14:textId="77777777" w:rsidR="000F3D36" w:rsidRDefault="000F3D36" w:rsidP="003061DB">
            <w:pPr>
              <w:pStyle w:val="TableText"/>
            </w:pPr>
          </w:p>
        </w:tc>
        <w:tc>
          <w:tcPr>
            <w:tcW w:w="6524" w:type="dxa"/>
            <w:gridSpan w:val="3"/>
          </w:tcPr>
          <w:p w14:paraId="0AACB0E7" w14:textId="77777777" w:rsidR="000F3D36" w:rsidRPr="00960AFB" w:rsidRDefault="000F3D36" w:rsidP="003061DB">
            <w:pPr>
              <w:pStyle w:val="TableBlock"/>
              <w:rPr>
                <w:rtl/>
              </w:rPr>
            </w:pPr>
            <w:r w:rsidRPr="00960AFB">
              <w:rPr>
                <w:rtl/>
              </w:rPr>
              <w:t>(1)</w:t>
            </w:r>
            <w:r w:rsidRPr="00960AFB">
              <w:rPr>
                <w:rtl/>
              </w:rPr>
              <w:tab/>
            </w:r>
            <w:r w:rsidRPr="00960AFB">
              <w:rPr>
                <w:rFonts w:hint="eastAsia"/>
                <w:rtl/>
              </w:rPr>
              <w:t>הפקדות</w:t>
            </w:r>
            <w:r w:rsidRPr="00960AFB">
              <w:rPr>
                <w:rtl/>
              </w:rPr>
              <w:t xml:space="preserve"> לקופת גמל לקצבה בשיעורים </w:t>
            </w:r>
            <w:r>
              <w:rPr>
                <w:rFonts w:hint="cs"/>
                <w:rtl/>
              </w:rPr>
              <w:t>של הפרשות העובד, הפרשות המעביד והפרשות המעביד לפיצויים, כפי ש</w:t>
            </w:r>
            <w:r w:rsidRPr="00960AFB">
              <w:rPr>
                <w:rtl/>
              </w:rPr>
              <w:t>קבועים</w:t>
            </w:r>
            <w:r w:rsidRPr="00582E50">
              <w:rPr>
                <w:rFonts w:hint="eastAsia"/>
                <w:rtl/>
              </w:rPr>
              <w:t xml:space="preserve"> ב</w:t>
            </w:r>
            <w:r w:rsidRPr="00582E50">
              <w:rPr>
                <w:rtl/>
              </w:rPr>
              <w:t>צו הרחבה לביטוח פנסיוני מקיף במשק לפי חוק הסכמים קיבוציים, התשי"ז–1957</w:t>
            </w:r>
            <w:r>
              <w:rPr>
                <w:rStyle w:val="a6"/>
                <w:rtl/>
              </w:rPr>
              <w:footnoteReference w:id="3"/>
            </w:r>
            <w:r>
              <w:rPr>
                <w:rFonts w:hint="cs"/>
                <w:rtl/>
              </w:rPr>
              <w:t>;</w:t>
            </w:r>
          </w:p>
        </w:tc>
      </w:tr>
      <w:tr w:rsidR="000F3D36" w:rsidRPr="00960AFB" w14:paraId="3C951F9C" w14:textId="77777777" w:rsidTr="003061DB">
        <w:trPr>
          <w:cantSplit/>
          <w:trHeight w:val="60"/>
        </w:trPr>
        <w:tc>
          <w:tcPr>
            <w:tcW w:w="1873" w:type="dxa"/>
          </w:tcPr>
          <w:p w14:paraId="324880D0" w14:textId="77777777" w:rsidR="000F3D36" w:rsidRDefault="000F3D36" w:rsidP="003061DB">
            <w:pPr>
              <w:pStyle w:val="TableSideHeading"/>
            </w:pPr>
          </w:p>
        </w:tc>
        <w:tc>
          <w:tcPr>
            <w:tcW w:w="625" w:type="dxa"/>
          </w:tcPr>
          <w:p w14:paraId="2282682E" w14:textId="77777777" w:rsidR="000F3D36" w:rsidRDefault="000F3D36" w:rsidP="003061DB">
            <w:pPr>
              <w:pStyle w:val="TableText"/>
            </w:pPr>
          </w:p>
        </w:tc>
        <w:tc>
          <w:tcPr>
            <w:tcW w:w="624" w:type="dxa"/>
          </w:tcPr>
          <w:p w14:paraId="7FE38486" w14:textId="77777777" w:rsidR="000F3D36" w:rsidRDefault="000F3D36" w:rsidP="003061DB">
            <w:pPr>
              <w:pStyle w:val="TableText"/>
            </w:pPr>
          </w:p>
        </w:tc>
        <w:tc>
          <w:tcPr>
            <w:tcW w:w="6524" w:type="dxa"/>
            <w:gridSpan w:val="3"/>
          </w:tcPr>
          <w:p w14:paraId="56600463" w14:textId="77777777" w:rsidR="000F3D36" w:rsidRPr="00960AFB" w:rsidRDefault="000F3D36" w:rsidP="003061DB">
            <w:pPr>
              <w:pStyle w:val="TableBlock"/>
              <w:rPr>
                <w:rtl/>
              </w:rPr>
            </w:pPr>
            <w:r>
              <w:rPr>
                <w:rFonts w:hint="cs"/>
                <w:rtl/>
              </w:rPr>
              <w:t>(2)</w:t>
            </w:r>
            <w:r>
              <w:rPr>
                <w:rtl/>
              </w:rPr>
              <w:tab/>
            </w:r>
            <w:r>
              <w:rPr>
                <w:rFonts w:hint="cs"/>
                <w:rtl/>
              </w:rPr>
              <w:t>דמי ביטוח לאומי, בשיעורים החלים לגבי עובד, לרבות דמי הביטוח החלים על המעסיק בעד עובדו ודמי ביטוח בריאות."</w:t>
            </w:r>
          </w:p>
        </w:tc>
      </w:tr>
      <w:tr w:rsidR="000F3D36" w14:paraId="550F4F36" w14:textId="77777777" w:rsidTr="003061DB">
        <w:trPr>
          <w:cantSplit/>
          <w:trHeight w:val="60"/>
        </w:trPr>
        <w:tc>
          <w:tcPr>
            <w:tcW w:w="1873" w:type="dxa"/>
          </w:tcPr>
          <w:p w14:paraId="3FEA6EC0" w14:textId="77777777" w:rsidR="000F3D36" w:rsidRDefault="000F3D36" w:rsidP="003061DB">
            <w:pPr>
              <w:pStyle w:val="TableSideHeading"/>
            </w:pPr>
            <w:r>
              <w:rPr>
                <w:rFonts w:hint="cs"/>
                <w:rtl/>
              </w:rPr>
              <w:t>תיקון חוק הביטוח הלאומי</w:t>
            </w:r>
          </w:p>
        </w:tc>
        <w:tc>
          <w:tcPr>
            <w:tcW w:w="625" w:type="dxa"/>
          </w:tcPr>
          <w:p w14:paraId="1FA795BE" w14:textId="77777777" w:rsidR="000F3D36" w:rsidRDefault="000F3D36" w:rsidP="003061DB">
            <w:pPr>
              <w:pStyle w:val="TableText"/>
            </w:pPr>
            <w:r>
              <w:rPr>
                <w:rFonts w:hint="cs"/>
                <w:rtl/>
              </w:rPr>
              <w:t>2.</w:t>
            </w:r>
          </w:p>
        </w:tc>
        <w:tc>
          <w:tcPr>
            <w:tcW w:w="7148" w:type="dxa"/>
            <w:gridSpan w:val="4"/>
          </w:tcPr>
          <w:p w14:paraId="7B285344" w14:textId="77777777" w:rsidR="000F3D36" w:rsidRDefault="000F3D36" w:rsidP="003061DB">
            <w:pPr>
              <w:pStyle w:val="TableBlock"/>
              <w:rPr>
                <w:rtl/>
              </w:rPr>
            </w:pPr>
            <w:r>
              <w:rPr>
                <w:rFonts w:hint="cs"/>
                <w:rtl/>
              </w:rPr>
              <w:t>בחוק הביטוח הלאומי [נוסח משולב], התשנ"ה–1995</w:t>
            </w:r>
            <w:r>
              <w:rPr>
                <w:rStyle w:val="a6"/>
                <w:rtl/>
              </w:rPr>
              <w:footnoteReference w:id="4"/>
            </w:r>
            <w:r>
              <w:rPr>
                <w:rFonts w:hint="cs"/>
                <w:rtl/>
              </w:rPr>
              <w:t xml:space="preserve"> (להלן </w:t>
            </w:r>
            <w:r>
              <w:rPr>
                <w:rtl/>
              </w:rPr>
              <w:t>–</w:t>
            </w:r>
            <w:r>
              <w:rPr>
                <w:rFonts w:hint="cs"/>
                <w:rtl/>
              </w:rPr>
              <w:t xml:space="preserve"> החוק העיקרי)</w:t>
            </w:r>
            <w:r>
              <w:rPr>
                <w:rFonts w:hint="eastAsia"/>
                <w:rtl/>
              </w:rPr>
              <w:t>–</w:t>
            </w:r>
          </w:p>
        </w:tc>
      </w:tr>
      <w:tr w:rsidR="000F3D36" w14:paraId="71A42480" w14:textId="77777777" w:rsidTr="003061DB">
        <w:trPr>
          <w:cantSplit/>
          <w:trHeight w:val="60"/>
        </w:trPr>
        <w:tc>
          <w:tcPr>
            <w:tcW w:w="1873" w:type="dxa"/>
          </w:tcPr>
          <w:p w14:paraId="475EC008" w14:textId="77777777" w:rsidR="000F3D36" w:rsidRDefault="000F3D36" w:rsidP="003061DB">
            <w:pPr>
              <w:pStyle w:val="TableSideHeading"/>
              <w:rPr>
                <w:rtl/>
              </w:rPr>
            </w:pPr>
          </w:p>
        </w:tc>
        <w:tc>
          <w:tcPr>
            <w:tcW w:w="625" w:type="dxa"/>
          </w:tcPr>
          <w:p w14:paraId="18F9BE96" w14:textId="77777777" w:rsidR="000F3D36" w:rsidRDefault="000F3D36" w:rsidP="003061DB">
            <w:pPr>
              <w:pStyle w:val="TableText"/>
              <w:rPr>
                <w:rtl/>
              </w:rPr>
            </w:pPr>
          </w:p>
        </w:tc>
        <w:tc>
          <w:tcPr>
            <w:tcW w:w="7148" w:type="dxa"/>
            <w:gridSpan w:val="4"/>
          </w:tcPr>
          <w:p w14:paraId="40114580" w14:textId="77777777" w:rsidR="000F3D36" w:rsidRDefault="000F3D36" w:rsidP="003061DB">
            <w:pPr>
              <w:pStyle w:val="TableBlock"/>
              <w:rPr>
                <w:rtl/>
              </w:rPr>
            </w:pPr>
            <w:r w:rsidRPr="009D5884">
              <w:rPr>
                <w:rFonts w:hint="cs"/>
                <w:rtl/>
              </w:rPr>
              <w:t>(1</w:t>
            </w:r>
            <w:r>
              <w:rPr>
                <w:rFonts w:hint="cs"/>
                <w:rtl/>
              </w:rPr>
              <w:t>)</w:t>
            </w:r>
            <w:r>
              <w:rPr>
                <w:rFonts w:hint="cs"/>
                <w:rtl/>
              </w:rPr>
              <w:tab/>
              <w:t>בסעיף 6ב, בסופו יבוא "לעניין מבוטח שהוא בעל שליטה בחברת מעטים ושחלות לגבי הכנסתו הוראות סעיף 17(16) לפקודת מס הכנסה, לא יחולו עליו הוראות פרק ח' בלבד.";</w:t>
            </w:r>
          </w:p>
        </w:tc>
      </w:tr>
      <w:tr w:rsidR="000F3D36" w14:paraId="35C2C399" w14:textId="77777777" w:rsidTr="003061DB">
        <w:trPr>
          <w:cantSplit/>
          <w:trHeight w:val="60"/>
        </w:trPr>
        <w:tc>
          <w:tcPr>
            <w:tcW w:w="1873" w:type="dxa"/>
          </w:tcPr>
          <w:p w14:paraId="41193D02" w14:textId="77777777" w:rsidR="000F3D36" w:rsidRDefault="000F3D36" w:rsidP="003061DB">
            <w:pPr>
              <w:pStyle w:val="TableSideHeading"/>
              <w:rPr>
                <w:rtl/>
              </w:rPr>
            </w:pPr>
          </w:p>
        </w:tc>
        <w:tc>
          <w:tcPr>
            <w:tcW w:w="625" w:type="dxa"/>
          </w:tcPr>
          <w:p w14:paraId="00464EF8" w14:textId="77777777" w:rsidR="000F3D36" w:rsidRDefault="000F3D36" w:rsidP="003061DB">
            <w:pPr>
              <w:pStyle w:val="TableText"/>
              <w:rPr>
                <w:rtl/>
              </w:rPr>
            </w:pPr>
          </w:p>
        </w:tc>
        <w:tc>
          <w:tcPr>
            <w:tcW w:w="7148" w:type="dxa"/>
            <w:gridSpan w:val="4"/>
          </w:tcPr>
          <w:p w14:paraId="24504062" w14:textId="77777777" w:rsidR="000F3D36" w:rsidRPr="009D5884" w:rsidRDefault="000F3D36" w:rsidP="003061DB">
            <w:pPr>
              <w:pStyle w:val="TableBlock"/>
              <w:rPr>
                <w:rtl/>
              </w:rPr>
            </w:pPr>
            <w:r>
              <w:rPr>
                <w:rFonts w:hint="cs"/>
                <w:rtl/>
              </w:rPr>
              <w:t>(2)</w:t>
            </w:r>
            <w:r>
              <w:rPr>
                <w:rtl/>
              </w:rPr>
              <w:tab/>
            </w:r>
            <w:r>
              <w:rPr>
                <w:rFonts w:hint="cs"/>
                <w:rtl/>
              </w:rPr>
              <w:t>אחרי סעיף 6ב יבוא:</w:t>
            </w:r>
          </w:p>
        </w:tc>
      </w:tr>
      <w:tr w:rsidR="000F3D36" w14:paraId="2F992645" w14:textId="77777777" w:rsidTr="003061DB">
        <w:trPr>
          <w:cantSplit/>
          <w:trHeight w:val="60"/>
        </w:trPr>
        <w:tc>
          <w:tcPr>
            <w:tcW w:w="1873" w:type="dxa"/>
          </w:tcPr>
          <w:p w14:paraId="0BD69E33" w14:textId="77777777" w:rsidR="000F3D36" w:rsidRDefault="000F3D36" w:rsidP="003061DB">
            <w:pPr>
              <w:pStyle w:val="TableSideHeading"/>
              <w:keepLines w:val="0"/>
            </w:pPr>
          </w:p>
        </w:tc>
        <w:tc>
          <w:tcPr>
            <w:tcW w:w="625" w:type="dxa"/>
          </w:tcPr>
          <w:p w14:paraId="437FC74B" w14:textId="77777777" w:rsidR="000F3D36" w:rsidRDefault="000F3D36" w:rsidP="003061DB">
            <w:pPr>
              <w:pStyle w:val="TableText"/>
              <w:keepLines w:val="0"/>
            </w:pPr>
          </w:p>
        </w:tc>
        <w:tc>
          <w:tcPr>
            <w:tcW w:w="1872" w:type="dxa"/>
            <w:gridSpan w:val="2"/>
          </w:tcPr>
          <w:p w14:paraId="180D6E00" w14:textId="77777777" w:rsidR="000F3D36" w:rsidRDefault="000F3D36" w:rsidP="003061DB">
            <w:pPr>
              <w:pStyle w:val="TableInnerSideHeading"/>
            </w:pPr>
            <w:r>
              <w:rPr>
                <w:rFonts w:hint="cs"/>
                <w:rtl/>
              </w:rPr>
              <w:t xml:space="preserve">"השתכרות מעבודה של עובד עצמאי </w:t>
            </w:r>
          </w:p>
        </w:tc>
        <w:tc>
          <w:tcPr>
            <w:tcW w:w="624" w:type="dxa"/>
          </w:tcPr>
          <w:p w14:paraId="5641C31A" w14:textId="77777777" w:rsidR="000F3D36" w:rsidRDefault="000F3D36" w:rsidP="003061DB">
            <w:pPr>
              <w:pStyle w:val="TableText"/>
            </w:pPr>
            <w:r>
              <w:rPr>
                <w:rFonts w:hint="cs"/>
                <w:rtl/>
              </w:rPr>
              <w:t>6ג.</w:t>
            </w:r>
          </w:p>
        </w:tc>
        <w:tc>
          <w:tcPr>
            <w:tcW w:w="4652" w:type="dxa"/>
          </w:tcPr>
          <w:p w14:paraId="33E692C4" w14:textId="77777777" w:rsidR="000F3D36" w:rsidRDefault="000F3D36" w:rsidP="003061DB">
            <w:pPr>
              <w:pStyle w:val="TableBlock"/>
            </w:pPr>
            <w:r>
              <w:rPr>
                <w:rFonts w:hint="cs"/>
                <w:rtl/>
              </w:rPr>
              <w:t>מבוטח שחלות לגבי הכנסתו הוראות סעיף 17(16) לפקודת מס הכנסה, יראו אותו לכל דבר ועניין לפי חוק זה כעובד, לעניין ההכנסה האמורה והתשלומים הנלווים לה כאמור באותו סעיף.";</w:t>
            </w:r>
          </w:p>
        </w:tc>
      </w:tr>
      <w:tr w:rsidR="000F3D36" w14:paraId="240A69FC" w14:textId="77777777" w:rsidTr="003061DB">
        <w:trPr>
          <w:cantSplit/>
          <w:trHeight w:val="60"/>
        </w:trPr>
        <w:tc>
          <w:tcPr>
            <w:tcW w:w="1873" w:type="dxa"/>
          </w:tcPr>
          <w:p w14:paraId="215E0055" w14:textId="77777777" w:rsidR="000F3D36" w:rsidRDefault="000F3D36" w:rsidP="003061DB">
            <w:pPr>
              <w:pStyle w:val="TableSideHeading"/>
            </w:pPr>
          </w:p>
        </w:tc>
        <w:tc>
          <w:tcPr>
            <w:tcW w:w="625" w:type="dxa"/>
          </w:tcPr>
          <w:p w14:paraId="2E3F797F" w14:textId="77777777" w:rsidR="000F3D36" w:rsidRDefault="000F3D36" w:rsidP="003061DB">
            <w:pPr>
              <w:pStyle w:val="TableText"/>
            </w:pPr>
          </w:p>
        </w:tc>
        <w:tc>
          <w:tcPr>
            <w:tcW w:w="7148" w:type="dxa"/>
            <w:gridSpan w:val="4"/>
          </w:tcPr>
          <w:p w14:paraId="5424D4F4" w14:textId="77777777" w:rsidR="000F3D36" w:rsidRPr="00C34DE2" w:rsidRDefault="000F3D36" w:rsidP="003061DB">
            <w:pPr>
              <w:pStyle w:val="TableBlock"/>
            </w:pPr>
            <w:r>
              <w:rPr>
                <w:rFonts w:hint="cs"/>
                <w:rtl/>
              </w:rPr>
              <w:t>(3)</w:t>
            </w:r>
            <w:r>
              <w:rPr>
                <w:rtl/>
              </w:rPr>
              <w:tab/>
            </w:r>
            <w:r>
              <w:rPr>
                <w:rFonts w:hint="cs"/>
                <w:rtl/>
              </w:rPr>
              <w:t>בסעיף 161, אחרי סעיף קטן (ו) יבוא:</w:t>
            </w:r>
          </w:p>
        </w:tc>
      </w:tr>
      <w:tr w:rsidR="000F3D36" w14:paraId="3EC8E27D" w14:textId="77777777" w:rsidTr="003061DB">
        <w:trPr>
          <w:cantSplit/>
          <w:trHeight w:val="60"/>
        </w:trPr>
        <w:tc>
          <w:tcPr>
            <w:tcW w:w="1873" w:type="dxa"/>
          </w:tcPr>
          <w:p w14:paraId="3E90BE1E" w14:textId="77777777" w:rsidR="000F3D36" w:rsidRDefault="000F3D36" w:rsidP="003061DB">
            <w:pPr>
              <w:pStyle w:val="TableSideHeading"/>
            </w:pPr>
          </w:p>
        </w:tc>
        <w:tc>
          <w:tcPr>
            <w:tcW w:w="625" w:type="dxa"/>
          </w:tcPr>
          <w:p w14:paraId="51DA4902" w14:textId="77777777" w:rsidR="000F3D36" w:rsidRDefault="000F3D36" w:rsidP="003061DB">
            <w:pPr>
              <w:pStyle w:val="TableText"/>
            </w:pPr>
          </w:p>
        </w:tc>
        <w:tc>
          <w:tcPr>
            <w:tcW w:w="624" w:type="dxa"/>
          </w:tcPr>
          <w:p w14:paraId="3E2FAFD6" w14:textId="77777777" w:rsidR="000F3D36" w:rsidRDefault="000F3D36" w:rsidP="003061DB">
            <w:pPr>
              <w:pStyle w:val="TableText"/>
            </w:pPr>
          </w:p>
        </w:tc>
        <w:tc>
          <w:tcPr>
            <w:tcW w:w="6524" w:type="dxa"/>
            <w:gridSpan w:val="3"/>
          </w:tcPr>
          <w:p w14:paraId="467983FA" w14:textId="77777777" w:rsidR="000F3D36" w:rsidRDefault="000F3D36" w:rsidP="003061DB">
            <w:pPr>
              <w:pStyle w:val="TableBlock"/>
            </w:pPr>
            <w:r>
              <w:rPr>
                <w:rFonts w:hint="cs"/>
                <w:rtl/>
              </w:rPr>
              <w:t>"(ז)</w:t>
            </w:r>
            <w:r>
              <w:rPr>
                <w:rtl/>
              </w:rPr>
              <w:tab/>
              <w:t xml:space="preserve">לעניין סימן זה, תקופת </w:t>
            </w:r>
            <w:r>
              <w:rPr>
                <w:rFonts w:hint="cs"/>
                <w:rtl/>
              </w:rPr>
              <w:t>ה</w:t>
            </w:r>
            <w:r>
              <w:rPr>
                <w:rtl/>
              </w:rPr>
              <w:t>אכשרה לגבי תקופת אבטלה, לגבי מבוטח שחלות לגבי הכנסתו הוראות סעיף 17</w:t>
            </w:r>
            <w:r>
              <w:rPr>
                <w:rFonts w:hint="cs"/>
                <w:rtl/>
              </w:rPr>
              <w:t>(16)</w:t>
            </w:r>
            <w:r>
              <w:rPr>
                <w:rtl/>
              </w:rPr>
              <w:t xml:space="preserve"> לפקודת מס הכנסה, 36 חודשים קלנדריים</w:t>
            </w:r>
            <w:r>
              <w:rPr>
                <w:rFonts w:hint="cs"/>
                <w:rtl/>
              </w:rPr>
              <w:t xml:space="preserve">"; </w:t>
            </w:r>
          </w:p>
        </w:tc>
      </w:tr>
      <w:tr w:rsidR="000F3D36" w14:paraId="0FD46237" w14:textId="77777777" w:rsidTr="003061DB">
        <w:trPr>
          <w:cantSplit/>
          <w:trHeight w:val="60"/>
        </w:trPr>
        <w:tc>
          <w:tcPr>
            <w:tcW w:w="1873" w:type="dxa"/>
          </w:tcPr>
          <w:p w14:paraId="3BA5B8FE" w14:textId="77777777" w:rsidR="000F3D36" w:rsidRDefault="000F3D36" w:rsidP="003061DB">
            <w:pPr>
              <w:pStyle w:val="TableSideHeading"/>
            </w:pPr>
          </w:p>
        </w:tc>
        <w:tc>
          <w:tcPr>
            <w:tcW w:w="625" w:type="dxa"/>
          </w:tcPr>
          <w:p w14:paraId="5FB6AB1C" w14:textId="77777777" w:rsidR="000F3D36" w:rsidRDefault="000F3D36" w:rsidP="003061DB">
            <w:pPr>
              <w:pStyle w:val="TableText"/>
            </w:pPr>
          </w:p>
        </w:tc>
        <w:tc>
          <w:tcPr>
            <w:tcW w:w="7148" w:type="dxa"/>
            <w:gridSpan w:val="4"/>
          </w:tcPr>
          <w:p w14:paraId="7DCF2BE8" w14:textId="77777777" w:rsidR="000F3D36" w:rsidRPr="00C34DE2" w:rsidRDefault="000F3D36" w:rsidP="003061DB">
            <w:pPr>
              <w:pStyle w:val="TableBlock"/>
            </w:pPr>
            <w:r>
              <w:rPr>
                <w:rFonts w:hint="cs"/>
                <w:rtl/>
              </w:rPr>
              <w:t>(4)</w:t>
            </w:r>
            <w:r>
              <w:rPr>
                <w:rtl/>
              </w:rPr>
              <w:tab/>
            </w:r>
            <w:r>
              <w:rPr>
                <w:rFonts w:hint="cs"/>
                <w:rtl/>
              </w:rPr>
              <w:t>בסעיף 335, אחרי סעיף קטן (ט) יבוא:</w:t>
            </w:r>
          </w:p>
        </w:tc>
      </w:tr>
      <w:tr w:rsidR="000F3D36" w14:paraId="56CA5C21" w14:textId="77777777" w:rsidTr="003061DB">
        <w:trPr>
          <w:cantSplit/>
          <w:trHeight w:val="60"/>
        </w:trPr>
        <w:tc>
          <w:tcPr>
            <w:tcW w:w="1873" w:type="dxa"/>
          </w:tcPr>
          <w:p w14:paraId="61C88011" w14:textId="77777777" w:rsidR="000F3D36" w:rsidRDefault="000F3D36" w:rsidP="003061DB">
            <w:pPr>
              <w:pStyle w:val="TableSideHeading"/>
            </w:pPr>
          </w:p>
        </w:tc>
        <w:tc>
          <w:tcPr>
            <w:tcW w:w="625" w:type="dxa"/>
          </w:tcPr>
          <w:p w14:paraId="63E5ECD5" w14:textId="77777777" w:rsidR="000F3D36" w:rsidRDefault="000F3D36" w:rsidP="003061DB">
            <w:pPr>
              <w:pStyle w:val="TableText"/>
            </w:pPr>
          </w:p>
        </w:tc>
        <w:tc>
          <w:tcPr>
            <w:tcW w:w="624" w:type="dxa"/>
          </w:tcPr>
          <w:p w14:paraId="06BB8D5C" w14:textId="77777777" w:rsidR="000F3D36" w:rsidRDefault="000F3D36" w:rsidP="003061DB">
            <w:pPr>
              <w:pStyle w:val="TableText"/>
            </w:pPr>
          </w:p>
        </w:tc>
        <w:tc>
          <w:tcPr>
            <w:tcW w:w="6524" w:type="dxa"/>
            <w:gridSpan w:val="3"/>
          </w:tcPr>
          <w:p w14:paraId="642ABE10" w14:textId="77777777" w:rsidR="000F3D36" w:rsidRDefault="000F3D36" w:rsidP="003061DB">
            <w:pPr>
              <w:pStyle w:val="TableBlock"/>
            </w:pPr>
            <w:r>
              <w:rPr>
                <w:rFonts w:hint="cs"/>
                <w:rtl/>
              </w:rPr>
              <w:t>"(ט1)</w:t>
            </w:r>
            <w:r>
              <w:rPr>
                <w:rtl/>
              </w:rPr>
              <w:tab/>
            </w:r>
            <w:r>
              <w:rPr>
                <w:rFonts w:hint="cs"/>
                <w:rtl/>
              </w:rPr>
              <w:t>מבוטח שחלות לגבי הכנסתו הוראות סעיף 17(16) לפקודת מס הכנסה, וביקש שלא להיות מבוטח לפי פרק ז', ישלם דמי ביטוח ללא דמי ביטוח אבטלה."</w:t>
            </w:r>
          </w:p>
        </w:tc>
      </w:tr>
      <w:tr w:rsidR="000F3D36" w14:paraId="5259BFBC" w14:textId="77777777" w:rsidTr="003061DB">
        <w:trPr>
          <w:cantSplit/>
          <w:trHeight w:val="60"/>
        </w:trPr>
        <w:tc>
          <w:tcPr>
            <w:tcW w:w="1873" w:type="dxa"/>
          </w:tcPr>
          <w:p w14:paraId="2C3D428B" w14:textId="77777777" w:rsidR="000F3D36" w:rsidRDefault="000F3D36" w:rsidP="003061DB">
            <w:pPr>
              <w:pStyle w:val="TableSideHeading"/>
              <w:rPr>
                <w:rtl/>
              </w:rPr>
            </w:pPr>
            <w:r>
              <w:rPr>
                <w:rFonts w:hint="cs"/>
                <w:rtl/>
              </w:rPr>
              <w:t>תחילה</w:t>
            </w:r>
          </w:p>
        </w:tc>
        <w:tc>
          <w:tcPr>
            <w:tcW w:w="625" w:type="dxa"/>
          </w:tcPr>
          <w:p w14:paraId="452E9F32" w14:textId="77777777" w:rsidR="000F3D36" w:rsidRDefault="000F3D36" w:rsidP="003061DB">
            <w:pPr>
              <w:pStyle w:val="TableText"/>
              <w:rPr>
                <w:rtl/>
              </w:rPr>
            </w:pPr>
            <w:r>
              <w:rPr>
                <w:rFonts w:hint="cs"/>
                <w:rtl/>
              </w:rPr>
              <w:t xml:space="preserve">3. </w:t>
            </w:r>
          </w:p>
        </w:tc>
        <w:tc>
          <w:tcPr>
            <w:tcW w:w="7148" w:type="dxa"/>
            <w:gridSpan w:val="4"/>
          </w:tcPr>
          <w:p w14:paraId="289E0CB2" w14:textId="77777777" w:rsidR="000F3D36" w:rsidRDefault="000F3D36" w:rsidP="003061DB">
            <w:pPr>
              <w:pStyle w:val="TableBlock"/>
              <w:rPr>
                <w:rtl/>
              </w:rPr>
            </w:pPr>
            <w:r>
              <w:rPr>
                <w:rFonts w:hint="cs"/>
                <w:rtl/>
              </w:rPr>
              <w:t xml:space="preserve">תחילתו של חוק זה  90 ימים מיום פרסומו. </w:t>
            </w:r>
          </w:p>
        </w:tc>
      </w:tr>
    </w:tbl>
    <w:p w14:paraId="581D7C8B" w14:textId="77777777" w:rsidR="000F3D36" w:rsidRDefault="000F3D36" w:rsidP="000F3D36">
      <w:pPr>
        <w:pStyle w:val="TableText"/>
        <w:rPr>
          <w:rtl/>
        </w:rPr>
      </w:pPr>
    </w:p>
    <w:p w14:paraId="7E3FB3E3" w14:textId="77777777" w:rsidR="000F3D36" w:rsidRDefault="000F3D36" w:rsidP="000F3D36">
      <w:pPr>
        <w:pStyle w:val="HeadDivreiHesber"/>
        <w:rPr>
          <w:rtl/>
        </w:rPr>
      </w:pPr>
      <w:r w:rsidRPr="0027450A">
        <w:rPr>
          <w:rFonts w:hint="cs"/>
          <w:rtl/>
        </w:rPr>
        <w:t>דברי הסבר</w:t>
      </w:r>
    </w:p>
    <w:p w14:paraId="6CE51209" w14:textId="77777777" w:rsidR="000F3D36" w:rsidRDefault="000F3D36" w:rsidP="000F3D36">
      <w:pPr>
        <w:pStyle w:val="Hesber"/>
        <w:rPr>
          <w:rtl/>
        </w:rPr>
      </w:pPr>
      <w:r>
        <w:rPr>
          <w:rFonts w:hint="cs"/>
          <w:rtl/>
        </w:rPr>
        <w:t xml:space="preserve">בישראל מעל ל-450 אלף עסקים זעירים או עצמאיים. למרות שהם חשופים לסיכונים רבים, לפי החוק הישראלי, הם אינם זכאים להגנות סוציאליות להן זוכים עובדים שכירים, כגון דמי אבטלה, דמי מחלה, , החזר הולם בעבור שירות מילואים וכדומה.  </w:t>
      </w:r>
    </w:p>
    <w:p w14:paraId="2AF1C5CD" w14:textId="77777777" w:rsidR="000F3D36" w:rsidRDefault="000F3D36" w:rsidP="000F3D36">
      <w:pPr>
        <w:pStyle w:val="Hesber"/>
        <w:rPr>
          <w:rtl/>
        </w:rPr>
      </w:pPr>
      <w:r w:rsidRPr="009851F8">
        <w:rPr>
          <w:rtl/>
        </w:rPr>
        <w:t xml:space="preserve">הצעת חוק זו נועדה </w:t>
      </w:r>
      <w:r w:rsidRPr="009851F8">
        <w:rPr>
          <w:rFonts w:hint="cs"/>
          <w:rtl/>
        </w:rPr>
        <w:t xml:space="preserve">לבטל את הפער בין הזכויות הסוציאליות של </w:t>
      </w:r>
      <w:r>
        <w:rPr>
          <w:rFonts w:hint="cs"/>
          <w:rtl/>
        </w:rPr>
        <w:t xml:space="preserve">עובדים </w:t>
      </w:r>
      <w:r w:rsidRPr="009851F8">
        <w:rPr>
          <w:rFonts w:hint="cs"/>
          <w:rtl/>
        </w:rPr>
        <w:t>עצמאיים לבין</w:t>
      </w:r>
      <w:r>
        <w:rPr>
          <w:rFonts w:hint="cs"/>
          <w:rtl/>
        </w:rPr>
        <w:t xml:space="preserve"> עובדים שכירים, </w:t>
      </w:r>
      <w:r w:rsidRPr="009851F8">
        <w:rPr>
          <w:rtl/>
        </w:rPr>
        <w:t>מתוך הכרה בחש</w:t>
      </w:r>
      <w:r w:rsidRPr="009851F8">
        <w:rPr>
          <w:rFonts w:hint="cs"/>
          <w:rtl/>
        </w:rPr>
        <w:t>י</w:t>
      </w:r>
      <w:r w:rsidRPr="009851F8">
        <w:rPr>
          <w:rtl/>
        </w:rPr>
        <w:t>בותם של העובדים העצמאיים במ</w:t>
      </w:r>
      <w:r w:rsidRPr="009851F8">
        <w:rPr>
          <w:rFonts w:hint="cs"/>
          <w:rtl/>
        </w:rPr>
        <w:t>ג</w:t>
      </w:r>
      <w:r w:rsidRPr="009851F8">
        <w:rPr>
          <w:rtl/>
        </w:rPr>
        <w:t>זר העבודה</w:t>
      </w:r>
      <w:r w:rsidRPr="00964580">
        <w:rPr>
          <w:rFonts w:hint="cs"/>
          <w:rtl/>
        </w:rPr>
        <w:t xml:space="preserve">. מוצע </w:t>
      </w:r>
      <w:r>
        <w:rPr>
          <w:rFonts w:hint="cs"/>
          <w:rtl/>
        </w:rPr>
        <w:t>לקבוע הוראות שישפיעו</w:t>
      </w:r>
      <w:r>
        <w:rPr>
          <w:rtl/>
        </w:rPr>
        <w:t xml:space="preserve"> משמעותי</w:t>
      </w:r>
      <w:r w:rsidRPr="00964580">
        <w:rPr>
          <w:rtl/>
        </w:rPr>
        <w:t>ת בתחומים שונים של תנאים סוציאלי</w:t>
      </w:r>
      <w:r w:rsidRPr="00964580">
        <w:rPr>
          <w:rFonts w:hint="cs"/>
          <w:rtl/>
        </w:rPr>
        <w:t>י</w:t>
      </w:r>
      <w:r w:rsidRPr="00964580">
        <w:rPr>
          <w:rtl/>
        </w:rPr>
        <w:t>ם ו</w:t>
      </w:r>
      <w:r>
        <w:rPr>
          <w:rFonts w:hint="cs"/>
          <w:rtl/>
        </w:rPr>
        <w:t>ב</w:t>
      </w:r>
      <w:r w:rsidRPr="00964580">
        <w:rPr>
          <w:rtl/>
        </w:rPr>
        <w:t xml:space="preserve">דיני המס </w:t>
      </w:r>
      <w:r w:rsidRPr="00964580">
        <w:rPr>
          <w:rFonts w:hint="cs"/>
          <w:rtl/>
        </w:rPr>
        <w:t xml:space="preserve">ולבטל את </w:t>
      </w:r>
      <w:r w:rsidRPr="00964580">
        <w:rPr>
          <w:rtl/>
        </w:rPr>
        <w:t>אי השוויון והעיוות החקיקתי בנושא זכויות העובדים העצמאיים.</w:t>
      </w:r>
    </w:p>
    <w:p w14:paraId="183E1DEB" w14:textId="77777777" w:rsidR="000F3D36" w:rsidRDefault="000F3D36" w:rsidP="000F3D36">
      <w:pPr>
        <w:pStyle w:val="Hesber"/>
        <w:rPr>
          <w:rtl/>
        </w:rPr>
      </w:pPr>
      <w:r w:rsidRPr="00964580">
        <w:rPr>
          <w:rtl/>
        </w:rPr>
        <w:t>דיני העבודה בישראל מסדירים את היחסים בין העובד למעסיקו וקובעים זכויות וחובות החלות על הצדדים</w:t>
      </w:r>
      <w:r>
        <w:rPr>
          <w:rFonts w:hint="cs"/>
          <w:rtl/>
        </w:rPr>
        <w:t>.</w:t>
      </w:r>
      <w:r>
        <w:rPr>
          <w:rtl/>
        </w:rPr>
        <w:t xml:space="preserve"> ואולם</w:t>
      </w:r>
      <w:r>
        <w:rPr>
          <w:rFonts w:hint="cs"/>
          <w:rtl/>
        </w:rPr>
        <w:t xml:space="preserve">, </w:t>
      </w:r>
      <w:r w:rsidRPr="00964580">
        <w:rPr>
          <w:rtl/>
        </w:rPr>
        <w:t>בעניין עובדים עצמאיים נקבעו רק הסדרים חלקיים ולרוב קיימים הסדרים שמפלים לרעה. כך, למשל, עובדים עצמאיים אינם מוגנים כמו שכירים בחוקי המגן השונים כדוגמת חוק שכר המינימום ואין מנגנונים מגנים דומים עבורם.</w:t>
      </w:r>
      <w:r w:rsidRPr="00964580">
        <w:rPr>
          <w:rFonts w:hint="cs"/>
          <w:rtl/>
        </w:rPr>
        <w:t xml:space="preserve"> עצמאיות ועצמאים גם אינם מוגנים מפני אבטלה ואינם זכאים לאותו שיעור הפקדות סוציאליות כמו פיצויים וכדומה.</w:t>
      </w:r>
    </w:p>
    <w:p w14:paraId="220E8F0C" w14:textId="77777777" w:rsidR="000F3D36" w:rsidRDefault="000F3D36" w:rsidP="000F3D36">
      <w:pPr>
        <w:pStyle w:val="Hesber"/>
        <w:rPr>
          <w:rtl/>
        </w:rPr>
      </w:pPr>
      <w:r w:rsidRPr="009851F8">
        <w:rPr>
          <w:rFonts w:hint="cs"/>
          <w:rtl/>
        </w:rPr>
        <w:t xml:space="preserve">לאור האמור </w:t>
      </w:r>
      <w:r w:rsidRPr="009851F8">
        <w:rPr>
          <w:rtl/>
        </w:rPr>
        <w:t xml:space="preserve">לעיל, מוצע </w:t>
      </w:r>
      <w:r w:rsidRPr="009851F8">
        <w:rPr>
          <w:rFonts w:hint="cs"/>
          <w:rtl/>
        </w:rPr>
        <w:t xml:space="preserve">לאפשר לעצמאים להוציא תלוש שכר עבור עצמם, בדומה לתלוש שכר ששכיר מקבל מידי מעסיקו. </w:t>
      </w:r>
    </w:p>
    <w:p w14:paraId="23928E90" w14:textId="77777777" w:rsidR="000F3D36" w:rsidRDefault="000F3D36" w:rsidP="000F3D36">
      <w:pPr>
        <w:pStyle w:val="Hesber"/>
        <w:rPr>
          <w:rtl/>
        </w:rPr>
      </w:pPr>
      <w:r w:rsidRPr="009851F8">
        <w:rPr>
          <w:rFonts w:hint="cs"/>
          <w:rtl/>
        </w:rPr>
        <w:t>תיקון החוק באופן הזה ישווה את מצבו של העצמאי לשכיר הן בנו</w:t>
      </w:r>
      <w:r w:rsidRPr="00964580">
        <w:rPr>
          <w:rFonts w:hint="cs"/>
          <w:rtl/>
        </w:rPr>
        <w:t xml:space="preserve">גע להפקדות הסוציאליות והן בנוגע להגנות הסוציאליות הנוגעות לביטוח הלאומי (דמי לידה, מילואים, דמי אבטלה ופגיעה בעבודה). כך, הוצאת תלוש שכר תאפשר לעצמאי להפקיד הפקדות סוציאליות ולמשוך אותן בתנאים זהים לשכיר (פנסיה, פיצויים ותגמולים), וכן </w:t>
      </w:r>
      <w:r>
        <w:rPr>
          <w:rFonts w:hint="cs"/>
          <w:rtl/>
        </w:rPr>
        <w:t>תבטל את הה</w:t>
      </w:r>
      <w:r w:rsidRPr="00964580">
        <w:rPr>
          <w:rFonts w:hint="cs"/>
          <w:rtl/>
        </w:rPr>
        <w:t xml:space="preserve">פליה שקיימת כיום בכל הנוגע לדמי לידה ולימי מילואים, ותאפשר מתן דמי אבטלה. </w:t>
      </w:r>
    </w:p>
    <w:p w14:paraId="4873DD90" w14:textId="77777777" w:rsidR="000F3D36" w:rsidRDefault="000F3D36" w:rsidP="000F3D36">
      <w:pPr>
        <w:pStyle w:val="Hesber"/>
        <w:rPr>
          <w:rtl/>
        </w:rPr>
      </w:pPr>
      <w:r>
        <w:rPr>
          <w:rFonts w:hint="cs"/>
          <w:rtl/>
        </w:rPr>
        <w:lastRenderedPageBreak/>
        <w:t>בנוסף, מוצע לאפשר מסלול נפרד עם הנחה בביטוח הלאומי לחפצים לוותר על זכאותם לדמי אבטלה, ולקבוע מנגנונים שונים לצמצום הניצול לרעה של דמי האבטלה לעצמאים.</w:t>
      </w:r>
    </w:p>
    <w:p w14:paraId="2007C072" w14:textId="6F6A3D27" w:rsidR="000F3D36" w:rsidRDefault="000F3D36" w:rsidP="000F3D36">
      <w:pPr>
        <w:pStyle w:val="Hesber"/>
        <w:rPr>
          <w:rtl/>
        </w:rPr>
      </w:pPr>
      <w:r>
        <w:rPr>
          <w:rFonts w:hint="cs"/>
          <w:rtl/>
        </w:rPr>
        <w:t xml:space="preserve">הצעות </w:t>
      </w:r>
      <w:r w:rsidRPr="00A06EDF">
        <w:rPr>
          <w:rFonts w:hint="eastAsia"/>
          <w:color w:val="auto"/>
          <w:rtl/>
        </w:rPr>
        <w:t>חוק</w:t>
      </w:r>
      <w:r w:rsidRPr="00A06EDF">
        <w:rPr>
          <w:color w:val="auto"/>
          <w:rtl/>
        </w:rPr>
        <w:t xml:space="preserve"> דומות בעיקרן </w:t>
      </w:r>
      <w:r>
        <w:rPr>
          <w:rFonts w:hint="cs"/>
          <w:rtl/>
        </w:rPr>
        <w:t>הונחו על שולחן הכנסת העשרים על ידי חברי הכנסת מרב מיכאלי ומשה גפני (פ/1272/20) ועל ידי חבר הכנסת עפר שלח (פ/1745/20), על שולחן הכנסת העשרים ואחת על ידי חברי הכנסת עפר שלח ומשה גפני (פ/270/21), על שולחן הכנסת העשרים ושתיים על ידי חבר הכנסת עפר שלח וקבוצת חברי הכנסת (פ/20/22) ועל ידי חברות הכנסת מרב מיכא</w:t>
      </w:r>
      <w:r w:rsidR="005F2D6F">
        <w:rPr>
          <w:rFonts w:hint="cs"/>
          <w:rtl/>
        </w:rPr>
        <w:t>לי ואורית פרקש הכהן (פ/1375/22)</w:t>
      </w:r>
      <w:r>
        <w:rPr>
          <w:rFonts w:hint="cs"/>
          <w:rtl/>
        </w:rPr>
        <w:t xml:space="preserve"> ועל שולחן הכנסת העשרים ושלוש על ידי חבר הכנסת עפר שלח וקבוצת חברי הכנסת (פ/45/23; הוסרה מסדר היום ב</w:t>
      </w:r>
      <w:bookmarkStart w:id="5" w:name="_Toc43305558"/>
      <w:bookmarkStart w:id="6" w:name="_Toc43313575"/>
      <w:bookmarkStart w:id="7" w:name="_Toc43320821"/>
      <w:bookmarkStart w:id="8" w:name="_Toc43321237"/>
      <w:r>
        <w:rPr>
          <w:rtl/>
        </w:rPr>
        <w:t>יום</w:t>
      </w:r>
      <w:r>
        <w:rPr>
          <w:rFonts w:hint="cs"/>
          <w:rtl/>
        </w:rPr>
        <w:t xml:space="preserve"> </w:t>
      </w:r>
      <w:r>
        <w:rPr>
          <w:rtl/>
        </w:rPr>
        <w:t>כ"ה בסיו</w:t>
      </w:r>
      <w:r>
        <w:rPr>
          <w:rFonts w:hint="cs"/>
          <w:rtl/>
        </w:rPr>
        <w:t>ו</w:t>
      </w:r>
      <w:r>
        <w:rPr>
          <w:rtl/>
        </w:rPr>
        <w:t>ן התש"ף (17 ביוני 2020)</w:t>
      </w:r>
      <w:bookmarkEnd w:id="5"/>
      <w:bookmarkEnd w:id="6"/>
      <w:bookmarkEnd w:id="7"/>
      <w:bookmarkEnd w:id="8"/>
      <w:r>
        <w:rPr>
          <w:rFonts w:hint="cs"/>
          <w:rtl/>
        </w:rPr>
        <w:t>), על ידי ח</w:t>
      </w:r>
      <w:r w:rsidR="005F2D6F">
        <w:rPr>
          <w:rFonts w:hint="cs"/>
          <w:rtl/>
        </w:rPr>
        <w:t>ברת הכנסת מרב מיכאלי (פ/307/23)</w:t>
      </w:r>
      <w:bookmarkStart w:id="9" w:name="_GoBack"/>
      <w:bookmarkEnd w:id="9"/>
      <w:r>
        <w:rPr>
          <w:rFonts w:hint="cs"/>
          <w:rtl/>
        </w:rPr>
        <w:t xml:space="preserve"> ועל ידי חבר הכנסת עופר שלח (פ/1515/23). </w:t>
      </w:r>
    </w:p>
    <w:p w14:paraId="1123CB79" w14:textId="77777777" w:rsidR="005F2D6F" w:rsidRDefault="005F2D6F" w:rsidP="000F3D36">
      <w:pPr>
        <w:pStyle w:val="Hesber"/>
        <w:rPr>
          <w:rtl/>
        </w:rPr>
      </w:pPr>
    </w:p>
    <w:p w14:paraId="724B5B63" w14:textId="77777777" w:rsidR="005F2D6F" w:rsidRPr="00D73212" w:rsidRDefault="005F2D6F" w:rsidP="005F2D6F">
      <w:pPr>
        <w:pStyle w:val="Hesber"/>
        <w:ind w:firstLine="0"/>
        <w:rPr>
          <w:color w:val="auto"/>
          <w:rtl/>
          <w:lang w:eastAsia="en-US"/>
        </w:rPr>
      </w:pPr>
      <w:r w:rsidRPr="00D73212">
        <w:rPr>
          <w:color w:val="auto"/>
          <w:rtl/>
          <w:lang w:eastAsia="en-US"/>
        </w:rPr>
        <w:t>---------------------------------</w:t>
      </w:r>
    </w:p>
    <w:p w14:paraId="4FFDE145" w14:textId="77777777" w:rsidR="005F2D6F" w:rsidRPr="0051670D" w:rsidRDefault="005F2D6F" w:rsidP="005F2D6F">
      <w:pPr>
        <w:pStyle w:val="Hesber"/>
        <w:ind w:firstLine="0"/>
        <w:rPr>
          <w:color w:val="auto"/>
          <w:sz w:val="26"/>
          <w:rtl/>
          <w:lang w:eastAsia="en-US"/>
        </w:rPr>
      </w:pPr>
      <w:r w:rsidRPr="0051670D">
        <w:rPr>
          <w:rFonts w:hint="cs"/>
          <w:color w:val="auto"/>
          <w:sz w:val="26"/>
          <w:rtl/>
          <w:lang w:eastAsia="en-US"/>
        </w:rPr>
        <w:t>הוגשה</w:t>
      </w:r>
      <w:r w:rsidRPr="0051670D">
        <w:rPr>
          <w:color w:val="auto"/>
          <w:sz w:val="26"/>
          <w:rtl/>
          <w:lang w:eastAsia="en-US"/>
        </w:rPr>
        <w:t xml:space="preserve"> </w:t>
      </w:r>
      <w:r w:rsidRPr="0051670D">
        <w:rPr>
          <w:rFonts w:hint="cs"/>
          <w:color w:val="auto"/>
          <w:sz w:val="26"/>
          <w:rtl/>
          <w:lang w:eastAsia="en-US"/>
        </w:rPr>
        <w:t>ליו</w:t>
      </w:r>
      <w:r w:rsidRPr="0051670D">
        <w:rPr>
          <w:color w:val="auto"/>
          <w:sz w:val="26"/>
          <w:rtl/>
          <w:lang w:eastAsia="en-US"/>
        </w:rPr>
        <w:t>"</w:t>
      </w:r>
      <w:r w:rsidRPr="0051670D">
        <w:rPr>
          <w:rFonts w:hint="cs"/>
          <w:color w:val="auto"/>
          <w:sz w:val="26"/>
          <w:rtl/>
          <w:lang w:eastAsia="en-US"/>
        </w:rPr>
        <w:t>ר</w:t>
      </w:r>
      <w:r w:rsidRPr="0051670D">
        <w:rPr>
          <w:color w:val="auto"/>
          <w:sz w:val="26"/>
          <w:rtl/>
          <w:lang w:eastAsia="en-US"/>
        </w:rPr>
        <w:t xml:space="preserve"> </w:t>
      </w:r>
      <w:r w:rsidRPr="0051670D">
        <w:rPr>
          <w:rFonts w:hint="cs"/>
          <w:color w:val="auto"/>
          <w:sz w:val="26"/>
          <w:rtl/>
          <w:lang w:eastAsia="en-US"/>
        </w:rPr>
        <w:t>הכנסת</w:t>
      </w:r>
      <w:r w:rsidRPr="0051670D">
        <w:rPr>
          <w:color w:val="auto"/>
          <w:sz w:val="26"/>
          <w:rtl/>
          <w:lang w:eastAsia="en-US"/>
        </w:rPr>
        <w:t xml:space="preserve"> </w:t>
      </w:r>
      <w:r w:rsidRPr="0051670D">
        <w:rPr>
          <w:rFonts w:hint="cs"/>
          <w:color w:val="auto"/>
          <w:sz w:val="26"/>
          <w:rtl/>
          <w:lang w:eastAsia="en-US"/>
        </w:rPr>
        <w:t>והסגנים</w:t>
      </w:r>
    </w:p>
    <w:p w14:paraId="59B7FB17" w14:textId="77777777" w:rsidR="005F2D6F" w:rsidRPr="0051670D" w:rsidRDefault="005F2D6F" w:rsidP="005F2D6F">
      <w:pPr>
        <w:pStyle w:val="Hesber"/>
        <w:ind w:firstLine="0"/>
        <w:rPr>
          <w:color w:val="auto"/>
          <w:sz w:val="26"/>
          <w:rtl/>
          <w:lang w:eastAsia="en-US"/>
        </w:rPr>
      </w:pPr>
      <w:r w:rsidRPr="0051670D">
        <w:rPr>
          <w:rFonts w:hint="cs"/>
          <w:color w:val="auto"/>
          <w:sz w:val="26"/>
          <w:rtl/>
          <w:lang w:eastAsia="en-US"/>
        </w:rPr>
        <w:t>והונחה</w:t>
      </w:r>
      <w:r w:rsidRPr="0051670D">
        <w:rPr>
          <w:color w:val="auto"/>
          <w:sz w:val="26"/>
          <w:rtl/>
          <w:lang w:eastAsia="en-US"/>
        </w:rPr>
        <w:t xml:space="preserve"> </w:t>
      </w:r>
      <w:r w:rsidRPr="0051670D">
        <w:rPr>
          <w:rFonts w:hint="cs"/>
          <w:color w:val="auto"/>
          <w:sz w:val="26"/>
          <w:rtl/>
          <w:lang w:eastAsia="en-US"/>
        </w:rPr>
        <w:t>על</w:t>
      </w:r>
      <w:r w:rsidRPr="0051670D">
        <w:rPr>
          <w:color w:val="auto"/>
          <w:sz w:val="26"/>
          <w:rtl/>
          <w:lang w:eastAsia="en-US"/>
        </w:rPr>
        <w:t xml:space="preserve"> </w:t>
      </w:r>
      <w:r w:rsidRPr="0051670D">
        <w:rPr>
          <w:rFonts w:hint="cs"/>
          <w:color w:val="auto"/>
          <w:sz w:val="26"/>
          <w:rtl/>
          <w:lang w:eastAsia="en-US"/>
        </w:rPr>
        <w:t>שולחן</w:t>
      </w:r>
      <w:r w:rsidRPr="0051670D">
        <w:rPr>
          <w:color w:val="auto"/>
          <w:sz w:val="26"/>
          <w:rtl/>
          <w:lang w:eastAsia="en-US"/>
        </w:rPr>
        <w:t xml:space="preserve"> </w:t>
      </w:r>
      <w:r w:rsidRPr="0051670D">
        <w:rPr>
          <w:rFonts w:hint="cs"/>
          <w:color w:val="auto"/>
          <w:sz w:val="26"/>
          <w:rtl/>
          <w:lang w:eastAsia="en-US"/>
        </w:rPr>
        <w:t>הכנסת</w:t>
      </w:r>
      <w:r w:rsidRPr="0051670D">
        <w:rPr>
          <w:color w:val="auto"/>
          <w:sz w:val="26"/>
          <w:rtl/>
          <w:lang w:eastAsia="en-US"/>
        </w:rPr>
        <w:t xml:space="preserve"> </w:t>
      </w:r>
      <w:r w:rsidRPr="0051670D">
        <w:rPr>
          <w:rFonts w:hint="cs"/>
          <w:color w:val="auto"/>
          <w:sz w:val="26"/>
          <w:rtl/>
          <w:lang w:eastAsia="en-US"/>
        </w:rPr>
        <w:t>ביום</w:t>
      </w:r>
    </w:p>
    <w:p w14:paraId="02289832" w14:textId="77777777" w:rsidR="005F2D6F" w:rsidRPr="0051670D" w:rsidRDefault="005F2D6F" w:rsidP="005F2D6F">
      <w:pPr>
        <w:pStyle w:val="Hesber"/>
        <w:ind w:firstLine="0"/>
        <w:rPr>
          <w:sz w:val="26"/>
          <w:rtl/>
        </w:rPr>
      </w:pPr>
      <w:r>
        <w:rPr>
          <w:rFonts w:hint="cs"/>
          <w:color w:val="auto"/>
          <w:rtl/>
          <w:lang w:eastAsia="en-US"/>
        </w:rPr>
        <w:t>ז'</w:t>
      </w:r>
      <w:r w:rsidRPr="0051670D">
        <w:rPr>
          <w:rFonts w:hint="cs"/>
          <w:color w:val="auto"/>
          <w:sz w:val="26"/>
          <w:rtl/>
          <w:lang w:eastAsia="en-US"/>
        </w:rPr>
        <w:t xml:space="preserve"> ב</w:t>
      </w:r>
      <w:r>
        <w:rPr>
          <w:rFonts w:hint="cs"/>
          <w:color w:val="auto"/>
          <w:sz w:val="26"/>
          <w:rtl/>
          <w:lang w:eastAsia="en-US"/>
        </w:rPr>
        <w:t>כסלו</w:t>
      </w:r>
      <w:r w:rsidRPr="0051670D">
        <w:rPr>
          <w:rFonts w:hint="cs"/>
          <w:color w:val="auto"/>
          <w:sz w:val="26"/>
          <w:rtl/>
          <w:lang w:eastAsia="en-US"/>
        </w:rPr>
        <w:t xml:space="preserve"> התש</w:t>
      </w:r>
      <w:r>
        <w:rPr>
          <w:rFonts w:hint="cs"/>
          <w:color w:val="auto"/>
          <w:sz w:val="26"/>
          <w:rtl/>
          <w:lang w:eastAsia="en-US"/>
        </w:rPr>
        <w:t>פ"א</w:t>
      </w:r>
      <w:r w:rsidRPr="0051670D">
        <w:rPr>
          <w:rFonts w:hint="cs"/>
          <w:color w:val="auto"/>
          <w:sz w:val="26"/>
          <w:rtl/>
          <w:lang w:eastAsia="en-US"/>
        </w:rPr>
        <w:t xml:space="preserve"> </w:t>
      </w:r>
      <w:r w:rsidRPr="0051670D">
        <w:rPr>
          <w:color w:val="auto"/>
          <w:sz w:val="26"/>
          <w:rtl/>
          <w:lang w:eastAsia="en-US"/>
        </w:rPr>
        <w:t>–</w:t>
      </w:r>
      <w:r w:rsidRPr="0051670D">
        <w:rPr>
          <w:rFonts w:hint="cs"/>
          <w:color w:val="auto"/>
          <w:sz w:val="26"/>
          <w:rtl/>
          <w:lang w:eastAsia="en-US"/>
        </w:rPr>
        <w:t xml:space="preserve"> </w:t>
      </w:r>
      <w:r>
        <w:rPr>
          <w:rFonts w:hint="cs"/>
          <w:color w:val="auto"/>
          <w:sz w:val="26"/>
          <w:rtl/>
          <w:lang w:eastAsia="en-US"/>
        </w:rPr>
        <w:t>23.11.20</w:t>
      </w:r>
    </w:p>
    <w:p w14:paraId="5CEC5A26" w14:textId="77777777" w:rsidR="005F2D6F" w:rsidRDefault="005F2D6F" w:rsidP="000F3D36">
      <w:pPr>
        <w:pStyle w:val="Hesber"/>
        <w:rPr>
          <w:rtl/>
        </w:rPr>
      </w:pPr>
    </w:p>
    <w:p w14:paraId="7F6961AE" w14:textId="77777777" w:rsidR="00E13C27" w:rsidRPr="006A1416" w:rsidRDefault="00E13C27" w:rsidP="0021633A">
      <w:pPr>
        <w:pStyle w:val="HeadDivreiHesber"/>
        <w:spacing w:before="0" w:after="0"/>
        <w:rPr>
          <w:rtl/>
        </w:rPr>
      </w:pP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F2D6F">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14F6FF1" w14:textId="77777777" w:rsidR="000F3D36" w:rsidRDefault="000F3D36" w:rsidP="000F3D36">
      <w:pPr>
        <w:pStyle w:val="a4"/>
        <w:rPr>
          <w:rtl/>
        </w:rPr>
      </w:pPr>
      <w:r>
        <w:rPr>
          <w:rStyle w:val="a6"/>
        </w:rPr>
        <w:footnoteRef/>
      </w:r>
      <w:r>
        <w:rPr>
          <w:rFonts w:hint="cs"/>
          <w:rtl/>
        </w:rPr>
        <w:t xml:space="preserve"> דיני מדינת ישראל, נוסח חדש 6, עמ' 120.</w:t>
      </w:r>
    </w:p>
  </w:footnote>
  <w:footnote w:id="3">
    <w:p w14:paraId="5F862081" w14:textId="77777777" w:rsidR="000F3D36" w:rsidRDefault="000F3D36" w:rsidP="000F3D36">
      <w:pPr>
        <w:pStyle w:val="a4"/>
        <w:rPr>
          <w:rtl/>
        </w:rPr>
      </w:pPr>
      <w:r>
        <w:rPr>
          <w:rStyle w:val="a6"/>
        </w:rPr>
        <w:footnoteRef/>
      </w:r>
      <w:r>
        <w:rPr>
          <w:rtl/>
        </w:rPr>
        <w:t xml:space="preserve"> </w:t>
      </w:r>
      <w:r>
        <w:rPr>
          <w:rFonts w:hint="cs"/>
          <w:rtl/>
        </w:rPr>
        <w:t>ס"ח התשי"ז, עמ' 63.</w:t>
      </w:r>
    </w:p>
  </w:footnote>
  <w:footnote w:id="4">
    <w:p w14:paraId="3799D84C" w14:textId="77777777" w:rsidR="000F3D36" w:rsidRDefault="000F3D36" w:rsidP="000F3D36">
      <w:pPr>
        <w:pStyle w:val="a4"/>
      </w:pPr>
      <w:r>
        <w:rPr>
          <w:rStyle w:val="a6"/>
        </w:rPr>
        <w:footnoteRef/>
      </w:r>
      <w:r>
        <w:rPr>
          <w:rtl/>
        </w:rPr>
        <w:t xml:space="preserve"> </w:t>
      </w:r>
      <w:r>
        <w:rPr>
          <w:rFonts w:hint="cs"/>
          <w:rtl/>
        </w:rPr>
        <w:t>ס"ח התשנ"ה, עמ'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735B91"/>
    <w:multiLevelType w:val="hybridMultilevel"/>
    <w:tmpl w:val="63ECDF0E"/>
    <w:lvl w:ilvl="0" w:tplc="177EC52E">
      <w:start w:val="1"/>
      <w:numFmt w:val="hebrew1"/>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F3D36"/>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C4959"/>
    <w:rsid w:val="005D51AE"/>
    <w:rsid w:val="005F2D6F"/>
    <w:rsid w:val="0062674B"/>
    <w:rsid w:val="006363B2"/>
    <w:rsid w:val="00644940"/>
    <w:rsid w:val="006818A9"/>
    <w:rsid w:val="006A1416"/>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3496168-2439-465B-B2CA-E2555F7A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rsid w:val="006A1416"/>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13693-9BF3-4610-BDF5-8414348E6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1CD9615-5F41-4175-A8D1-D4BEBDCB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598</Words>
  <Characters>3415</Characters>
  <Application>Microsoft Office Word</Application>
  <DocSecurity>0</DocSecurity>
  <Lines>28</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7</cp:revision>
  <cp:lastPrinted>2013-07-04T08:25:00Z</cp:lastPrinted>
  <dcterms:created xsi:type="dcterms:W3CDTF">2015-04-20T09:58:00Z</dcterms:created>
  <dcterms:modified xsi:type="dcterms:W3CDTF">2020-11-22T07:07:00Z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2148944</vt:r8>
  </property>
</Properties>
</file>