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b/>
          <w:bCs/>
          <w:sz w:val="20"/>
          <w:szCs w:val="20"/>
        </w:rPr>
      </w:pPr>
      <w:r w:rsidRPr="00E635A2">
        <w:rPr>
          <w:rFonts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sz w:val="20"/>
          <w:szCs w:val="20"/>
          <w:rtl/>
        </w:rPr>
        <w:t>2148255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ושלוש</w:t>
      </w:r>
      <w:bookmarkEnd w:id="1"/>
    </w:p>
    <w:p w14:paraId="7F6961A3" w14:textId="77777777" w:rsidR="00E13C27" w:rsidRPr="00F67051" w:rsidRDefault="00E13C27" w:rsidP="00E13C27">
      <w:pPr>
        <w:rPr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יוזם:</w:t>
      </w:r>
      <w:r>
        <w:tab/>
      </w:r>
      <w:r>
        <w:rPr>
          <w:b/>
          <w:bCs/>
          <w:rtl/>
        </w:rPr>
        <w:t xml:space="preserve">      חבר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מיכאל מלכיאלי</w:t>
      </w:r>
      <w:bookmarkEnd w:id="3"/>
    </w:p>
    <w:p w14:paraId="34DB4103" w14:textId="77777777" w:rsidR="00904591" w:rsidRPr="00904591" w:rsidRDefault="00266D86" w:rsidP="0036422C">
      <w:pPr>
        <w:pStyle w:val="David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529851B8" w:rsidR="00E13C27" w:rsidRPr="00E06736" w:rsidRDefault="00904591" w:rsidP="005439CE">
      <w:pPr>
        <w:pStyle w:val="David"/>
        <w:spacing w:line="240" w:lineRule="auto"/>
        <w:ind w:left="3544"/>
        <w:rPr>
          <w:rtl/>
        </w:rPr>
      </w:pPr>
      <w:r>
        <w:t xml:space="preserve"> </w:t>
      </w:r>
      <w:bookmarkStart w:id="4" w:name="Private_Number"/>
      <w:r w:rsidR="005439CE">
        <w:rPr>
          <w:rtl/>
        </w:rPr>
        <w:tab/>
      </w:r>
      <w:r w:rsidR="005439CE">
        <w:rPr>
          <w:rtl/>
        </w:rPr>
        <w:tab/>
      </w:r>
      <w:r w:rsidR="005439CE">
        <w:rPr>
          <w:rtl/>
        </w:rPr>
        <w:tab/>
      </w:r>
      <w:r w:rsidR="005439CE">
        <w:rPr>
          <w:rtl/>
        </w:rPr>
        <w:tab/>
      </w:r>
      <w:r>
        <w:rPr>
          <w:rFonts w:hint="cs"/>
          <w:rtl/>
        </w:rPr>
        <w:t>פ/2375/23</w:t>
      </w:r>
      <w:bookmarkEnd w:id="4"/>
    </w:p>
    <w:p w14:paraId="606059BB" w14:textId="0544892B" w:rsidR="006349EA" w:rsidRDefault="006349EA" w:rsidP="006349EA">
      <w:pPr>
        <w:pStyle w:val="HeadHatzaotHok"/>
        <w:rPr>
          <w:rtl/>
        </w:rPr>
      </w:pPr>
      <w:bookmarkStart w:id="5" w:name="LGS_Subject"/>
      <w:r>
        <w:rPr>
          <w:rFonts w:hint="cs"/>
          <w:rtl/>
        </w:rPr>
        <w:t>הצעת חוק לשכת עורכי הדין (תיקון – הכשרה למקצוע), התשפ"א–2020</w:t>
      </w:r>
      <w:bookmarkEnd w:id="5"/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623"/>
        <w:gridCol w:w="623"/>
        <w:gridCol w:w="623"/>
        <w:gridCol w:w="623"/>
        <w:gridCol w:w="623"/>
        <w:gridCol w:w="623"/>
        <w:gridCol w:w="4029"/>
      </w:tblGrid>
      <w:tr w:rsidR="006349EA" w:rsidRPr="000B2984" w14:paraId="69544D4F" w14:textId="77777777" w:rsidTr="00C00B08">
        <w:trPr>
          <w:cantSplit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4E290B88" w14:textId="3ABBEC18" w:rsidR="006349EA" w:rsidRPr="000B2984" w:rsidRDefault="00497148" w:rsidP="006349EA">
            <w:pPr>
              <w:pStyle w:val="TableSideHeading"/>
              <w:keepLines w:val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6"/>
                <w:rtl/>
              </w:rPr>
              <w:t xml:space="preserve">החלפת </w:t>
            </w:r>
            <w:r w:rsidR="006349EA">
              <w:rPr>
                <w:rFonts w:hint="cs"/>
                <w:sz w:val="26"/>
                <w:rtl/>
              </w:rPr>
              <w:t xml:space="preserve">סעיף 24 </w:t>
            </w:r>
            <w:r w:rsidR="00AF7737">
              <w:rPr>
                <w:sz w:val="26"/>
                <w:rtl/>
              </w:rPr>
              <w:t xml:space="preserve">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17AC2DE3" w14:textId="3A970C66" w:rsidR="006349EA" w:rsidRPr="000B2984" w:rsidRDefault="006349EA" w:rsidP="006349EA">
            <w:pPr>
              <w:pStyle w:val="TableText"/>
              <w:keepLines w:val="0"/>
              <w:tabs>
                <w:tab w:val="left" w:pos="0"/>
              </w:tabs>
              <w:rPr>
                <w:sz w:val="28"/>
                <w:szCs w:val="28"/>
                <w:rtl/>
              </w:rPr>
            </w:pPr>
            <w:r>
              <w:rPr>
                <w:sz w:val="26"/>
                <w:rtl/>
              </w:rPr>
              <w:t>1.</w:t>
            </w:r>
            <w:r>
              <w:rPr>
                <w:sz w:val="26"/>
                <w:rtl/>
              </w:rPr>
              <w:tab/>
            </w:r>
          </w:p>
        </w:tc>
        <w:tc>
          <w:tcPr>
            <w:tcW w:w="71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D13BD5C" w14:textId="4C2E1EC9" w:rsidR="006349EA" w:rsidRPr="000B2984" w:rsidRDefault="006349EA" w:rsidP="00C00B08">
            <w:pPr>
              <w:pStyle w:val="TableBlock"/>
              <w:rPr>
                <w:sz w:val="28"/>
                <w:szCs w:val="28"/>
                <w:rtl/>
              </w:rPr>
            </w:pPr>
            <w:r>
              <w:rPr>
                <w:rFonts w:hint="cs"/>
                <w:sz w:val="26"/>
                <w:rtl/>
              </w:rPr>
              <w:t>בחוק לשכת עורכי הדין, תשכ"א</w:t>
            </w:r>
            <w:r w:rsidR="0065547F">
              <w:rPr>
                <w:rFonts w:hint="cs"/>
                <w:sz w:val="26"/>
                <w:rtl/>
              </w:rPr>
              <w:t>–</w:t>
            </w:r>
            <w:r>
              <w:rPr>
                <w:rFonts w:hint="cs"/>
                <w:sz w:val="26"/>
                <w:rtl/>
              </w:rPr>
              <w:t>1961</w:t>
            </w:r>
            <w:r w:rsidR="0065547F" w:rsidRPr="00C00B08">
              <w:rPr>
                <w:rStyle w:val="a5"/>
                <w:rFonts w:ascii="David" w:hAnsi="David"/>
                <w:sz w:val="26"/>
                <w:rtl/>
              </w:rPr>
              <w:footnoteReference w:id="2"/>
            </w:r>
            <w:r w:rsidR="008C35C9">
              <w:rPr>
                <w:rFonts w:hint="cs"/>
                <w:sz w:val="26"/>
                <w:rtl/>
              </w:rPr>
              <w:t xml:space="preserve"> (להלן </w:t>
            </w:r>
            <w:r w:rsidR="008C35C9">
              <w:rPr>
                <w:sz w:val="26"/>
                <w:rtl/>
              </w:rPr>
              <w:t>–</w:t>
            </w:r>
            <w:r w:rsidR="008C35C9">
              <w:rPr>
                <w:rFonts w:hint="cs"/>
                <w:sz w:val="26"/>
                <w:rtl/>
              </w:rPr>
              <w:t xml:space="preserve"> החוק העיקרי)</w:t>
            </w:r>
            <w:r w:rsidR="005439CE">
              <w:rPr>
                <w:rFonts w:hint="cs"/>
                <w:sz w:val="26"/>
                <w:rtl/>
              </w:rPr>
              <w:t>,</w:t>
            </w:r>
            <w:r>
              <w:rPr>
                <w:rFonts w:hint="cs"/>
                <w:sz w:val="26"/>
                <w:rtl/>
              </w:rPr>
              <w:t xml:space="preserve"> </w:t>
            </w:r>
            <w:r w:rsidR="0065547F">
              <w:rPr>
                <w:rFonts w:hint="cs"/>
                <w:sz w:val="26"/>
                <w:rtl/>
              </w:rPr>
              <w:t xml:space="preserve">במקום סעיף </w:t>
            </w:r>
            <w:r>
              <w:rPr>
                <w:rFonts w:hint="cs"/>
                <w:sz w:val="26"/>
                <w:rtl/>
              </w:rPr>
              <w:t>24 יבוא</w:t>
            </w:r>
            <w:r w:rsidR="00825A58">
              <w:rPr>
                <w:rFonts w:hint="cs"/>
                <w:sz w:val="26"/>
                <w:rtl/>
              </w:rPr>
              <w:t>:</w:t>
            </w:r>
          </w:p>
        </w:tc>
      </w:tr>
      <w:tr w:rsidR="0065547F" w14:paraId="38B03775" w14:textId="77777777" w:rsidTr="00C00B08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70" w:type="dxa"/>
          </w:tcPr>
          <w:p w14:paraId="6428C1D2" w14:textId="3D64EC09" w:rsidR="0065547F" w:rsidRDefault="0065547F">
            <w:pPr>
              <w:pStyle w:val="TableSideHeading"/>
              <w:keepLines w:val="0"/>
            </w:pPr>
          </w:p>
        </w:tc>
        <w:tc>
          <w:tcPr>
            <w:tcW w:w="623" w:type="dxa"/>
          </w:tcPr>
          <w:p w14:paraId="0AA072F4" w14:textId="77777777" w:rsidR="0065547F" w:rsidRDefault="0065547F">
            <w:pPr>
              <w:pStyle w:val="TableText"/>
              <w:keepLines w:val="0"/>
            </w:pPr>
          </w:p>
        </w:tc>
        <w:tc>
          <w:tcPr>
            <w:tcW w:w="1869" w:type="dxa"/>
            <w:gridSpan w:val="3"/>
          </w:tcPr>
          <w:p w14:paraId="4866B010" w14:textId="3157AF36" w:rsidR="0065547F" w:rsidRDefault="0065547F">
            <w:pPr>
              <w:pStyle w:val="TableInnerSideHeading"/>
            </w:pPr>
            <w:r>
              <w:rPr>
                <w:rFonts w:hint="cs"/>
                <w:sz w:val="26"/>
                <w:rtl/>
              </w:rPr>
              <w:t>"הכשרה למקצוע</w:t>
            </w:r>
          </w:p>
        </w:tc>
        <w:tc>
          <w:tcPr>
            <w:tcW w:w="623" w:type="dxa"/>
          </w:tcPr>
          <w:p w14:paraId="267D4336" w14:textId="0BE97EB1" w:rsidR="0065547F" w:rsidRDefault="0065547F">
            <w:pPr>
              <w:pStyle w:val="TableText"/>
            </w:pPr>
            <w:r>
              <w:rPr>
                <w:rFonts w:hint="cs"/>
                <w:rtl/>
              </w:rPr>
              <w:t xml:space="preserve">24. </w:t>
            </w:r>
          </w:p>
        </w:tc>
        <w:tc>
          <w:tcPr>
            <w:tcW w:w="4652" w:type="dxa"/>
            <w:gridSpan w:val="2"/>
          </w:tcPr>
          <w:p w14:paraId="2E882996" w14:textId="47C122ED" w:rsidR="0065547F" w:rsidRDefault="0065547F" w:rsidP="00AF7737">
            <w:pPr>
              <w:pStyle w:val="TableBlock"/>
            </w:pPr>
            <w:r>
              <w:rPr>
                <w:rFonts w:hint="cs"/>
                <w:rtl/>
              </w:rPr>
              <w:t>אדם כשיר להיות עורך דין אם נתקיימו בו אלה:</w:t>
            </w:r>
          </w:p>
        </w:tc>
      </w:tr>
      <w:tr w:rsidR="0065547F" w14:paraId="58F4639E" w14:textId="77777777" w:rsidTr="00C00B08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70" w:type="dxa"/>
          </w:tcPr>
          <w:p w14:paraId="3D7DA1D5" w14:textId="26C2C25A" w:rsidR="0065547F" w:rsidRDefault="0065547F">
            <w:pPr>
              <w:pStyle w:val="TableSideHeading"/>
            </w:pPr>
          </w:p>
        </w:tc>
        <w:tc>
          <w:tcPr>
            <w:tcW w:w="623" w:type="dxa"/>
          </w:tcPr>
          <w:p w14:paraId="17B639C1" w14:textId="77777777" w:rsidR="0065547F" w:rsidRDefault="0065547F">
            <w:pPr>
              <w:pStyle w:val="TableText"/>
            </w:pPr>
          </w:p>
        </w:tc>
        <w:tc>
          <w:tcPr>
            <w:tcW w:w="623" w:type="dxa"/>
          </w:tcPr>
          <w:p w14:paraId="44D25EA1" w14:textId="77777777" w:rsidR="0065547F" w:rsidRDefault="0065547F">
            <w:pPr>
              <w:pStyle w:val="TableText"/>
            </w:pPr>
          </w:p>
        </w:tc>
        <w:tc>
          <w:tcPr>
            <w:tcW w:w="623" w:type="dxa"/>
          </w:tcPr>
          <w:p w14:paraId="55852532" w14:textId="77777777" w:rsidR="0065547F" w:rsidRDefault="0065547F">
            <w:pPr>
              <w:pStyle w:val="TableText"/>
            </w:pPr>
          </w:p>
        </w:tc>
        <w:tc>
          <w:tcPr>
            <w:tcW w:w="623" w:type="dxa"/>
          </w:tcPr>
          <w:p w14:paraId="6FF0DFC7" w14:textId="77777777" w:rsidR="0065547F" w:rsidRDefault="0065547F">
            <w:pPr>
              <w:pStyle w:val="TableText"/>
            </w:pPr>
          </w:p>
        </w:tc>
        <w:tc>
          <w:tcPr>
            <w:tcW w:w="623" w:type="dxa"/>
          </w:tcPr>
          <w:p w14:paraId="06C5D5B9" w14:textId="77777777" w:rsidR="0065547F" w:rsidRDefault="0065547F">
            <w:pPr>
              <w:pStyle w:val="TableText"/>
            </w:pPr>
          </w:p>
        </w:tc>
        <w:tc>
          <w:tcPr>
            <w:tcW w:w="623" w:type="dxa"/>
          </w:tcPr>
          <w:p w14:paraId="6EA4DA91" w14:textId="32776CB9" w:rsidR="0065547F" w:rsidRDefault="0065547F">
            <w:pPr>
              <w:pStyle w:val="TableText"/>
            </w:pPr>
            <w:r>
              <w:rPr>
                <w:rFonts w:hint="cs"/>
                <w:rtl/>
              </w:rPr>
              <w:t>(1)</w:t>
            </w:r>
          </w:p>
        </w:tc>
        <w:tc>
          <w:tcPr>
            <w:tcW w:w="4029" w:type="dxa"/>
          </w:tcPr>
          <w:p w14:paraId="4561EE01" w14:textId="06EAF68D" w:rsidR="0065547F" w:rsidRDefault="0065547F" w:rsidP="00AF7737">
            <w:pPr>
              <w:pStyle w:val="TableBlock"/>
            </w:pPr>
            <w:r>
              <w:rPr>
                <w:rFonts w:hint="cs"/>
                <w:rtl/>
              </w:rPr>
              <w:t>עמד ב</w:t>
            </w:r>
            <w:r w:rsidR="000D0479">
              <w:rPr>
                <w:rFonts w:hint="cs"/>
                <w:rtl/>
              </w:rPr>
              <w:t xml:space="preserve">חלקה הראשון של </w:t>
            </w:r>
            <w:r>
              <w:rPr>
                <w:rFonts w:hint="cs"/>
                <w:rtl/>
              </w:rPr>
              <w:t>בחינת הלשכה לאחר שנת לימודים מלאה;</w:t>
            </w:r>
          </w:p>
        </w:tc>
      </w:tr>
      <w:tr w:rsidR="0065547F" w14:paraId="698CEFCD" w14:textId="77777777" w:rsidTr="00C00B08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70" w:type="dxa"/>
          </w:tcPr>
          <w:p w14:paraId="22ED7C2D" w14:textId="77777777" w:rsidR="0065547F" w:rsidRDefault="0065547F">
            <w:pPr>
              <w:pStyle w:val="TableSideHeading"/>
              <w:rPr>
                <w:rtl/>
              </w:rPr>
            </w:pPr>
          </w:p>
        </w:tc>
        <w:tc>
          <w:tcPr>
            <w:tcW w:w="623" w:type="dxa"/>
          </w:tcPr>
          <w:p w14:paraId="0BC19CEC" w14:textId="77777777" w:rsidR="0065547F" w:rsidRDefault="0065547F" w:rsidP="0065547F">
            <w:pPr>
              <w:pStyle w:val="TableText"/>
            </w:pPr>
          </w:p>
        </w:tc>
        <w:tc>
          <w:tcPr>
            <w:tcW w:w="623" w:type="dxa"/>
          </w:tcPr>
          <w:p w14:paraId="1DADC3A8" w14:textId="77777777" w:rsidR="0065547F" w:rsidRDefault="0065547F">
            <w:pPr>
              <w:pStyle w:val="TableText"/>
            </w:pPr>
          </w:p>
        </w:tc>
        <w:tc>
          <w:tcPr>
            <w:tcW w:w="623" w:type="dxa"/>
          </w:tcPr>
          <w:p w14:paraId="2E37C72B" w14:textId="77777777" w:rsidR="0065547F" w:rsidRDefault="0065547F">
            <w:pPr>
              <w:pStyle w:val="TableText"/>
            </w:pPr>
          </w:p>
        </w:tc>
        <w:tc>
          <w:tcPr>
            <w:tcW w:w="623" w:type="dxa"/>
          </w:tcPr>
          <w:p w14:paraId="2CE08CDF" w14:textId="77777777" w:rsidR="0065547F" w:rsidRDefault="0065547F">
            <w:pPr>
              <w:pStyle w:val="TableText"/>
            </w:pPr>
          </w:p>
        </w:tc>
        <w:tc>
          <w:tcPr>
            <w:tcW w:w="623" w:type="dxa"/>
          </w:tcPr>
          <w:p w14:paraId="3D890F18" w14:textId="77777777" w:rsidR="0065547F" w:rsidRDefault="0065547F">
            <w:pPr>
              <w:pStyle w:val="TableText"/>
            </w:pPr>
          </w:p>
        </w:tc>
        <w:tc>
          <w:tcPr>
            <w:tcW w:w="623" w:type="dxa"/>
          </w:tcPr>
          <w:p w14:paraId="4E14DB84" w14:textId="770EB906" w:rsidR="0065547F" w:rsidRDefault="0065547F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(2)</w:t>
            </w:r>
          </w:p>
        </w:tc>
        <w:tc>
          <w:tcPr>
            <w:tcW w:w="4029" w:type="dxa"/>
          </w:tcPr>
          <w:p w14:paraId="113641F4" w14:textId="3D6FE8DF" w:rsidR="0065547F" w:rsidRDefault="0065547F" w:rsidP="00AF7737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הוא בעל השכלה משפטית גבוהה;</w:t>
            </w:r>
          </w:p>
        </w:tc>
      </w:tr>
      <w:tr w:rsidR="00497148" w14:paraId="51304998" w14:textId="77777777" w:rsidTr="00C00B08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70" w:type="dxa"/>
          </w:tcPr>
          <w:p w14:paraId="3D7C4C13" w14:textId="77777777" w:rsidR="00497148" w:rsidRDefault="00497148">
            <w:pPr>
              <w:pStyle w:val="TableSideHeading"/>
              <w:rPr>
                <w:rtl/>
              </w:rPr>
            </w:pPr>
          </w:p>
        </w:tc>
        <w:tc>
          <w:tcPr>
            <w:tcW w:w="623" w:type="dxa"/>
          </w:tcPr>
          <w:p w14:paraId="647F4AB1" w14:textId="77777777" w:rsidR="00497148" w:rsidRDefault="00497148" w:rsidP="00497148">
            <w:pPr>
              <w:pStyle w:val="TableText"/>
            </w:pPr>
          </w:p>
        </w:tc>
        <w:tc>
          <w:tcPr>
            <w:tcW w:w="623" w:type="dxa"/>
          </w:tcPr>
          <w:p w14:paraId="026167AF" w14:textId="77777777" w:rsidR="00497148" w:rsidRDefault="00497148">
            <w:pPr>
              <w:pStyle w:val="TableText"/>
            </w:pPr>
          </w:p>
        </w:tc>
        <w:tc>
          <w:tcPr>
            <w:tcW w:w="623" w:type="dxa"/>
          </w:tcPr>
          <w:p w14:paraId="6DD34FF5" w14:textId="77777777" w:rsidR="00497148" w:rsidRDefault="00497148">
            <w:pPr>
              <w:pStyle w:val="TableText"/>
            </w:pPr>
          </w:p>
        </w:tc>
        <w:tc>
          <w:tcPr>
            <w:tcW w:w="623" w:type="dxa"/>
          </w:tcPr>
          <w:p w14:paraId="5EAF4A5D" w14:textId="77777777" w:rsidR="00497148" w:rsidRDefault="00497148">
            <w:pPr>
              <w:pStyle w:val="TableText"/>
            </w:pPr>
          </w:p>
        </w:tc>
        <w:tc>
          <w:tcPr>
            <w:tcW w:w="623" w:type="dxa"/>
          </w:tcPr>
          <w:p w14:paraId="05C4B2F9" w14:textId="77777777" w:rsidR="00497148" w:rsidRDefault="00497148">
            <w:pPr>
              <w:pStyle w:val="TableText"/>
            </w:pPr>
          </w:p>
        </w:tc>
        <w:tc>
          <w:tcPr>
            <w:tcW w:w="623" w:type="dxa"/>
          </w:tcPr>
          <w:p w14:paraId="66129E1F" w14:textId="6AFB5AF9" w:rsidR="00497148" w:rsidRDefault="00497148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(3)</w:t>
            </w:r>
          </w:p>
        </w:tc>
        <w:tc>
          <w:tcPr>
            <w:tcW w:w="4029" w:type="dxa"/>
          </w:tcPr>
          <w:p w14:paraId="7348F6C8" w14:textId="55C83CD8" w:rsidR="00497148" w:rsidRDefault="00497148" w:rsidP="00C00B08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עמד ב</w:t>
            </w:r>
            <w:r w:rsidR="000D0479">
              <w:rPr>
                <w:rFonts w:hint="cs"/>
                <w:rtl/>
              </w:rPr>
              <w:t xml:space="preserve">חלקה השני של </w:t>
            </w:r>
            <w:r>
              <w:rPr>
                <w:rFonts w:hint="cs"/>
                <w:rtl/>
              </w:rPr>
              <w:t>בחינת הלשכה לאחר קבלת הזכאות לתואר האקדמי, ובלבד שחלפו 28 חודשים מ</w:t>
            </w:r>
            <w:r w:rsidR="00C00B08">
              <w:rPr>
                <w:rFonts w:hint="cs"/>
                <w:rtl/>
              </w:rPr>
              <w:t xml:space="preserve">המועד שבו נבחן בחלקה הראשון של </w:t>
            </w:r>
            <w:r>
              <w:rPr>
                <w:rFonts w:hint="cs"/>
                <w:rtl/>
              </w:rPr>
              <w:t xml:space="preserve">בחינת הלשכה כאמור </w:t>
            </w:r>
            <w:r w:rsidR="00C00B08">
              <w:rPr>
                <w:rFonts w:hint="cs"/>
                <w:rtl/>
              </w:rPr>
              <w:t>בפסקה</w:t>
            </w:r>
            <w:r>
              <w:rPr>
                <w:rFonts w:hint="cs"/>
                <w:rtl/>
              </w:rPr>
              <w:t xml:space="preserve"> (1);</w:t>
            </w:r>
          </w:p>
        </w:tc>
      </w:tr>
      <w:tr w:rsidR="00497148" w14:paraId="61126206" w14:textId="77777777" w:rsidTr="00C00B08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70" w:type="dxa"/>
          </w:tcPr>
          <w:p w14:paraId="24016AA8" w14:textId="77777777" w:rsidR="00497148" w:rsidRDefault="00497148">
            <w:pPr>
              <w:pStyle w:val="TableSideHeading"/>
              <w:rPr>
                <w:rtl/>
              </w:rPr>
            </w:pPr>
          </w:p>
        </w:tc>
        <w:tc>
          <w:tcPr>
            <w:tcW w:w="623" w:type="dxa"/>
          </w:tcPr>
          <w:p w14:paraId="656585DF" w14:textId="77777777" w:rsidR="00497148" w:rsidRDefault="00497148" w:rsidP="00497148">
            <w:pPr>
              <w:pStyle w:val="TableText"/>
            </w:pPr>
          </w:p>
        </w:tc>
        <w:tc>
          <w:tcPr>
            <w:tcW w:w="623" w:type="dxa"/>
          </w:tcPr>
          <w:p w14:paraId="02CDA9DC" w14:textId="77777777" w:rsidR="00497148" w:rsidRDefault="00497148">
            <w:pPr>
              <w:pStyle w:val="TableText"/>
            </w:pPr>
          </w:p>
        </w:tc>
        <w:tc>
          <w:tcPr>
            <w:tcW w:w="623" w:type="dxa"/>
          </w:tcPr>
          <w:p w14:paraId="26FA1B57" w14:textId="77777777" w:rsidR="00497148" w:rsidRDefault="00497148">
            <w:pPr>
              <w:pStyle w:val="TableText"/>
            </w:pPr>
          </w:p>
        </w:tc>
        <w:tc>
          <w:tcPr>
            <w:tcW w:w="623" w:type="dxa"/>
          </w:tcPr>
          <w:p w14:paraId="63F797D8" w14:textId="77777777" w:rsidR="00497148" w:rsidRDefault="00497148">
            <w:pPr>
              <w:pStyle w:val="TableText"/>
            </w:pPr>
          </w:p>
        </w:tc>
        <w:tc>
          <w:tcPr>
            <w:tcW w:w="623" w:type="dxa"/>
          </w:tcPr>
          <w:p w14:paraId="2C893600" w14:textId="77777777" w:rsidR="00497148" w:rsidRDefault="00497148">
            <w:pPr>
              <w:pStyle w:val="TableText"/>
            </w:pPr>
          </w:p>
        </w:tc>
        <w:tc>
          <w:tcPr>
            <w:tcW w:w="623" w:type="dxa"/>
          </w:tcPr>
          <w:p w14:paraId="26E9737F" w14:textId="13E4BF4A" w:rsidR="00497148" w:rsidRDefault="00497148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(4)</w:t>
            </w:r>
          </w:p>
        </w:tc>
        <w:tc>
          <w:tcPr>
            <w:tcW w:w="4029" w:type="dxa"/>
          </w:tcPr>
          <w:p w14:paraId="65008C47" w14:textId="16663A76" w:rsidR="00497148" w:rsidRDefault="005439CE" w:rsidP="00AF7737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עבר תקופת התמחות.".</w:t>
            </w:r>
          </w:p>
        </w:tc>
      </w:tr>
      <w:tr w:rsidR="00497148" w14:paraId="22AF5A03" w14:textId="77777777" w:rsidTr="00C00B08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70" w:type="dxa"/>
          </w:tcPr>
          <w:p w14:paraId="017169DE" w14:textId="082E9A60" w:rsidR="00497148" w:rsidRDefault="00497148">
            <w:pPr>
              <w:pStyle w:val="TableSideHeading"/>
            </w:pPr>
            <w:r>
              <w:rPr>
                <w:rFonts w:hint="cs"/>
                <w:rtl/>
              </w:rPr>
              <w:t>תיקון סעיף 26</w:t>
            </w:r>
          </w:p>
        </w:tc>
        <w:tc>
          <w:tcPr>
            <w:tcW w:w="623" w:type="dxa"/>
          </w:tcPr>
          <w:p w14:paraId="76F722F7" w14:textId="7EE5135D" w:rsidR="00497148" w:rsidRDefault="00497148">
            <w:pPr>
              <w:pStyle w:val="TableText"/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7144" w:type="dxa"/>
            <w:gridSpan w:val="6"/>
          </w:tcPr>
          <w:p w14:paraId="02055C37" w14:textId="77231074" w:rsidR="00497148" w:rsidRPr="00C34DE2" w:rsidRDefault="008C35C9" w:rsidP="00AF7737">
            <w:pPr>
              <w:pStyle w:val="TableBlock"/>
            </w:pPr>
            <w:r>
              <w:rPr>
                <w:rFonts w:hint="cs"/>
                <w:rtl/>
              </w:rPr>
              <w:t>בסעיף 26 לחוק העיקרי, אחרי פסקה (4) יבוא:</w:t>
            </w:r>
          </w:p>
        </w:tc>
      </w:tr>
      <w:tr w:rsidR="008C35C9" w14:paraId="28C38257" w14:textId="77777777" w:rsidTr="00C00B08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70" w:type="dxa"/>
          </w:tcPr>
          <w:p w14:paraId="609BD7D8" w14:textId="77777777" w:rsidR="008C35C9" w:rsidRDefault="008C35C9">
            <w:pPr>
              <w:pStyle w:val="TableSideHeading"/>
            </w:pPr>
          </w:p>
        </w:tc>
        <w:tc>
          <w:tcPr>
            <w:tcW w:w="623" w:type="dxa"/>
          </w:tcPr>
          <w:p w14:paraId="55B4588D" w14:textId="77777777" w:rsidR="008C35C9" w:rsidRDefault="008C35C9">
            <w:pPr>
              <w:pStyle w:val="TableText"/>
            </w:pPr>
          </w:p>
        </w:tc>
        <w:tc>
          <w:tcPr>
            <w:tcW w:w="623" w:type="dxa"/>
          </w:tcPr>
          <w:p w14:paraId="02B60653" w14:textId="417B91A6" w:rsidR="008C35C9" w:rsidRPr="008C35C9" w:rsidRDefault="008C35C9">
            <w:pPr>
              <w:pStyle w:val="TableText"/>
            </w:pPr>
            <w:r>
              <w:rPr>
                <w:rFonts w:hint="cs"/>
                <w:rtl/>
              </w:rPr>
              <w:t>"(5)</w:t>
            </w:r>
          </w:p>
        </w:tc>
        <w:tc>
          <w:tcPr>
            <w:tcW w:w="6521" w:type="dxa"/>
            <w:gridSpan w:val="5"/>
          </w:tcPr>
          <w:p w14:paraId="1C1D3D40" w14:textId="24D6668F" w:rsidR="008C35C9" w:rsidRDefault="008C35C9" w:rsidP="002279F0">
            <w:pPr>
              <w:pStyle w:val="TableBlock"/>
            </w:pPr>
            <w:r>
              <w:rPr>
                <w:rFonts w:hint="cs"/>
                <w:rtl/>
              </w:rPr>
              <w:t>מי שקיבל ציון עובר ב</w:t>
            </w:r>
            <w:r w:rsidR="002279F0">
              <w:rPr>
                <w:rFonts w:hint="cs"/>
                <w:rtl/>
              </w:rPr>
              <w:t>שני חלקי בחינת</w:t>
            </w:r>
            <w:r>
              <w:rPr>
                <w:rFonts w:hint="cs"/>
                <w:rtl/>
              </w:rPr>
              <w:t xml:space="preserve"> הלשכה כאמור בסעיפים 24(1) ו</w:t>
            </w:r>
            <w:r w:rsidR="002279F0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>(3)."</w:t>
            </w:r>
          </w:p>
        </w:tc>
      </w:tr>
      <w:tr w:rsidR="008C35C9" w14:paraId="1E27FF50" w14:textId="77777777" w:rsidTr="00C00B08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71" w:type="dxa"/>
          </w:tcPr>
          <w:p w14:paraId="7B5FFE86" w14:textId="458B7AAA" w:rsidR="008C35C9" w:rsidRDefault="001D3ED2" w:rsidP="001D3ED2">
            <w:pPr>
              <w:pStyle w:val="TableSideHeading"/>
            </w:pPr>
            <w:r w:rsidRPr="00C00B08">
              <w:rPr>
                <w:rFonts w:hint="eastAsia"/>
                <w:rtl/>
              </w:rPr>
              <w:t>תחילה</w:t>
            </w:r>
          </w:p>
        </w:tc>
        <w:tc>
          <w:tcPr>
            <w:tcW w:w="623" w:type="dxa"/>
          </w:tcPr>
          <w:p w14:paraId="2CB451E4" w14:textId="505381F8" w:rsidR="008C35C9" w:rsidRDefault="008C35C9">
            <w:pPr>
              <w:pStyle w:val="TableText"/>
            </w:pPr>
            <w:r>
              <w:rPr>
                <w:rFonts w:hint="cs"/>
                <w:rtl/>
              </w:rPr>
              <w:t>3.</w:t>
            </w:r>
          </w:p>
        </w:tc>
        <w:tc>
          <w:tcPr>
            <w:tcW w:w="7144" w:type="dxa"/>
            <w:gridSpan w:val="6"/>
          </w:tcPr>
          <w:p w14:paraId="1CB6715F" w14:textId="51BE181E" w:rsidR="008C35C9" w:rsidRPr="00C34DE2" w:rsidRDefault="001D3ED2" w:rsidP="00C00B08">
            <w:pPr>
              <w:pStyle w:val="TableBlock"/>
            </w:pPr>
            <w:r>
              <w:rPr>
                <w:rFonts w:hint="cs"/>
                <w:rtl/>
              </w:rPr>
              <w:t>תח</w:t>
            </w:r>
            <w:r w:rsidR="00B17061">
              <w:rPr>
                <w:rFonts w:hint="cs"/>
                <w:rtl/>
              </w:rPr>
              <w:t>ילתו של חוק זה שלוש</w:t>
            </w:r>
            <w:r w:rsidR="008C35C9">
              <w:rPr>
                <w:rFonts w:hint="cs"/>
                <w:rtl/>
              </w:rPr>
              <w:t xml:space="preserve"> שנים מיום </w:t>
            </w:r>
            <w:r w:rsidR="00C00B08">
              <w:rPr>
                <w:rFonts w:hint="cs"/>
                <w:rtl/>
              </w:rPr>
              <w:t>פרסומו.</w:t>
            </w:r>
          </w:p>
        </w:tc>
      </w:tr>
    </w:tbl>
    <w:p w14:paraId="7F6961CA" w14:textId="77777777" w:rsidR="002D1EE3" w:rsidRPr="00AF7737" w:rsidRDefault="002D1EE3" w:rsidP="00AF7737">
      <w:pPr>
        <w:pStyle w:val="HeadDivreiHesber"/>
        <w:rPr>
          <w:rtl/>
        </w:rPr>
      </w:pPr>
      <w:r w:rsidRPr="00AF7737">
        <w:rPr>
          <w:rFonts w:hint="cs"/>
          <w:rtl/>
        </w:rPr>
        <w:t>דברי הסבר</w:t>
      </w:r>
    </w:p>
    <w:p w14:paraId="758DA0F3" w14:textId="0EB4110A" w:rsidR="006349EA" w:rsidRPr="00AF7737" w:rsidRDefault="006349EA" w:rsidP="00C00B08">
      <w:pPr>
        <w:pStyle w:val="Hesber"/>
        <w:rPr>
          <w:rtl/>
        </w:rPr>
      </w:pPr>
      <w:r w:rsidRPr="00AF7737">
        <w:rPr>
          <w:rtl/>
        </w:rPr>
        <w:t>בשנים האחרונות צ</w:t>
      </w:r>
      <w:r w:rsidR="00C00B08">
        <w:rPr>
          <w:rFonts w:hint="cs"/>
          <w:rtl/>
        </w:rPr>
        <w:t>ף</w:t>
      </w:r>
      <w:r w:rsidRPr="00AF7737">
        <w:rPr>
          <w:rtl/>
        </w:rPr>
        <w:t xml:space="preserve"> ועלה </w:t>
      </w:r>
      <w:r w:rsidR="00C00B08">
        <w:rPr>
          <w:rFonts w:hint="cs"/>
          <w:rtl/>
        </w:rPr>
        <w:t>הקושי במתכונת ההכשרה של עורכי הדין</w:t>
      </w:r>
      <w:r w:rsidRPr="00AF7737">
        <w:rPr>
          <w:rtl/>
        </w:rPr>
        <w:t xml:space="preserve">, זאת לאחר </w:t>
      </w:r>
      <w:r w:rsidR="00C00B08" w:rsidRPr="00AF7737">
        <w:rPr>
          <w:rtl/>
        </w:rPr>
        <w:t>ש</w:t>
      </w:r>
      <w:r w:rsidR="00C00B08">
        <w:rPr>
          <w:rFonts w:hint="cs"/>
          <w:rtl/>
        </w:rPr>
        <w:t>שיעור</w:t>
      </w:r>
      <w:r w:rsidR="00C00B08" w:rsidRPr="00AF7737">
        <w:rPr>
          <w:rtl/>
        </w:rPr>
        <w:t xml:space="preserve"> </w:t>
      </w:r>
      <w:r w:rsidRPr="00AF7737">
        <w:rPr>
          <w:rtl/>
        </w:rPr>
        <w:t>הנכשלים בבחינ</w:t>
      </w:r>
      <w:r w:rsidR="00AF7737">
        <w:rPr>
          <w:rFonts w:hint="cs"/>
          <w:rtl/>
        </w:rPr>
        <w:t>ו</w:t>
      </w:r>
      <w:r w:rsidRPr="00AF7737">
        <w:rPr>
          <w:rtl/>
        </w:rPr>
        <w:t>ת ההסמכה</w:t>
      </w:r>
      <w:r w:rsidR="00C00B08">
        <w:rPr>
          <w:rFonts w:hint="cs"/>
          <w:rtl/>
        </w:rPr>
        <w:t xml:space="preserve"> של לשכת עורכי הדין הגיע ל-60% או </w:t>
      </w:r>
      <w:r w:rsidR="00C00B08" w:rsidRPr="00AF7737">
        <w:rPr>
          <w:rtl/>
        </w:rPr>
        <w:t xml:space="preserve">יותר </w:t>
      </w:r>
      <w:r w:rsidR="00AF7737">
        <w:rPr>
          <w:rFonts w:hint="cs"/>
          <w:rtl/>
        </w:rPr>
        <w:t>בשנים האחרונות</w:t>
      </w:r>
      <w:r w:rsidRPr="00AF7737">
        <w:rPr>
          <w:rtl/>
        </w:rPr>
        <w:t>.</w:t>
      </w:r>
    </w:p>
    <w:p w14:paraId="556490C6" w14:textId="590E4FEA" w:rsidR="006349EA" w:rsidRPr="00AF7737" w:rsidRDefault="006349EA" w:rsidP="00C00B08">
      <w:pPr>
        <w:pStyle w:val="Hesber"/>
      </w:pPr>
      <w:r w:rsidRPr="00AF7737">
        <w:rPr>
          <w:rtl/>
        </w:rPr>
        <w:t>על פי חוק לשכת עורכי הדין, תשכ"א</w:t>
      </w:r>
      <w:r w:rsidR="00AF7737">
        <w:rPr>
          <w:rFonts w:hint="cs"/>
          <w:rtl/>
        </w:rPr>
        <w:t>–</w:t>
      </w:r>
      <w:r w:rsidRPr="00AF7737">
        <w:rPr>
          <w:rtl/>
        </w:rPr>
        <w:t>1961</w:t>
      </w:r>
      <w:r w:rsidR="00B93DD7">
        <w:rPr>
          <w:rFonts w:hint="cs"/>
          <w:rtl/>
        </w:rPr>
        <w:t xml:space="preserve"> </w:t>
      </w:r>
      <w:r w:rsidRPr="00AF7737">
        <w:rPr>
          <w:rtl/>
        </w:rPr>
        <w:t>אדם כשיר להיות עורך דין אם נתקיימו בו אלה</w:t>
      </w:r>
      <w:r w:rsidR="00C00B08">
        <w:rPr>
          <w:rFonts w:hint="cs"/>
          <w:rtl/>
        </w:rPr>
        <w:t>:</w:t>
      </w:r>
      <w:r w:rsidRPr="00AF7737">
        <w:rPr>
          <w:rtl/>
        </w:rPr>
        <w:t xml:space="preserve"> הוא בעל </w:t>
      </w:r>
      <w:r w:rsidRPr="00AF7737">
        <w:rPr>
          <w:rtl/>
        </w:rPr>
        <w:lastRenderedPageBreak/>
        <w:t>השכלה משפטית גבוהה, עבר תקופת התמחות של 18 חודשים, ועמד בבחינות הלשכה</w:t>
      </w:r>
      <w:r w:rsidR="00C00B08">
        <w:rPr>
          <w:rFonts w:hint="cs"/>
          <w:rtl/>
        </w:rPr>
        <w:t xml:space="preserve"> </w:t>
      </w:r>
      <w:r w:rsidR="00C00B08">
        <w:rPr>
          <w:rtl/>
        </w:rPr>
        <w:t>–</w:t>
      </w:r>
      <w:r w:rsidR="00C00B08">
        <w:rPr>
          <w:rFonts w:hint="cs"/>
          <w:rtl/>
        </w:rPr>
        <w:t xml:space="preserve"> ניתן להיבחן בבחינת הלשכה רק לאחר סיום הלימודים וההתמחות.</w:t>
      </w:r>
    </w:p>
    <w:p w14:paraId="0E12D792" w14:textId="09D5CD31" w:rsidR="006349EA" w:rsidRPr="00AF7737" w:rsidRDefault="006349EA" w:rsidP="00C00B08">
      <w:pPr>
        <w:pStyle w:val="Hesber"/>
        <w:rPr>
          <w:rtl/>
        </w:rPr>
      </w:pPr>
      <w:r w:rsidRPr="00AF7737">
        <w:rPr>
          <w:rtl/>
        </w:rPr>
        <w:t xml:space="preserve">כפועל יוצא, אדם אשר אינו עומד ברמה הנדרשת לשם עיסוק במקצוע עריכת הדין, איננו יכול לדעת זאת מראש, </w:t>
      </w:r>
      <w:r w:rsidR="00C00B08">
        <w:rPr>
          <w:rFonts w:hint="cs"/>
          <w:rtl/>
        </w:rPr>
        <w:t>ולומד על כך</w:t>
      </w:r>
      <w:r w:rsidRPr="00AF7737">
        <w:rPr>
          <w:rtl/>
        </w:rPr>
        <w:t xml:space="preserve"> רק לאחר בזבוז זמן</w:t>
      </w:r>
      <w:r w:rsidR="00AF7737">
        <w:rPr>
          <w:rFonts w:hint="cs"/>
          <w:rtl/>
        </w:rPr>
        <w:t xml:space="preserve"> ו</w:t>
      </w:r>
      <w:r w:rsidRPr="00AF7737">
        <w:rPr>
          <w:rtl/>
        </w:rPr>
        <w:t>משאבים כלכליים רבים</w:t>
      </w:r>
      <w:r w:rsidR="00AF7737">
        <w:rPr>
          <w:rFonts w:hint="cs"/>
          <w:rtl/>
        </w:rPr>
        <w:t>.</w:t>
      </w:r>
    </w:p>
    <w:p w14:paraId="03E4B523" w14:textId="1AB0BD07" w:rsidR="006349EA" w:rsidRPr="00AF7737" w:rsidRDefault="006349EA" w:rsidP="00C00B08">
      <w:pPr>
        <w:pStyle w:val="Hesber"/>
        <w:rPr>
          <w:rtl/>
        </w:rPr>
      </w:pPr>
      <w:r w:rsidRPr="00AF7737">
        <w:rPr>
          <w:rtl/>
        </w:rPr>
        <w:t xml:space="preserve">כמו כן, אין שום הסבר מניח את הדעת </w:t>
      </w:r>
      <w:r w:rsidR="00C00B08">
        <w:rPr>
          <w:rFonts w:hint="cs"/>
          <w:rtl/>
        </w:rPr>
        <w:t xml:space="preserve">מדוע יש </w:t>
      </w:r>
      <w:r w:rsidRPr="00AF7737">
        <w:rPr>
          <w:rtl/>
        </w:rPr>
        <w:t xml:space="preserve">לקיים את מבחן </w:t>
      </w:r>
      <w:r w:rsidR="00B93DD7" w:rsidRPr="00AF7737">
        <w:rPr>
          <w:rtl/>
        </w:rPr>
        <w:t>ההס</w:t>
      </w:r>
      <w:r w:rsidR="00B93DD7">
        <w:rPr>
          <w:rFonts w:hint="cs"/>
          <w:rtl/>
        </w:rPr>
        <w:t>מכ</w:t>
      </w:r>
      <w:r w:rsidR="00B93DD7" w:rsidRPr="00AF7737">
        <w:rPr>
          <w:rtl/>
        </w:rPr>
        <w:t xml:space="preserve">ה </w:t>
      </w:r>
      <w:r w:rsidRPr="00AF7737">
        <w:rPr>
          <w:rtl/>
        </w:rPr>
        <w:t xml:space="preserve">לאחר ביצוע תקופת ההתמחות, </w:t>
      </w:r>
      <w:r w:rsidR="00C00B08">
        <w:rPr>
          <w:rFonts w:hint="cs"/>
          <w:rtl/>
        </w:rPr>
        <w:t>מש</w:t>
      </w:r>
      <w:r w:rsidRPr="00AF7737">
        <w:rPr>
          <w:rtl/>
        </w:rPr>
        <w:t>אין שום קשר בין בחינת ההסמכה לביצוע ההתמחות, והיא אינה מסייעת כלל למעבר הבחינה בסוף ההליך.</w:t>
      </w:r>
    </w:p>
    <w:p w14:paraId="7805C2EC" w14:textId="3992B802" w:rsidR="006349EA" w:rsidRPr="00AF7737" w:rsidRDefault="006349EA" w:rsidP="00C00B08">
      <w:pPr>
        <w:rPr>
          <w:rtl/>
        </w:rPr>
      </w:pPr>
      <w:r w:rsidRPr="00AF7737">
        <w:rPr>
          <w:rtl/>
        </w:rPr>
        <w:t>על מנת למנוע עוגמת נפש רבה</w:t>
      </w:r>
      <w:r w:rsidR="00C00B08">
        <w:rPr>
          <w:rFonts w:hint="cs"/>
          <w:rtl/>
        </w:rPr>
        <w:t>,</w:t>
      </w:r>
      <w:r w:rsidRPr="00AF7737">
        <w:rPr>
          <w:rtl/>
        </w:rPr>
        <w:t xml:space="preserve"> כמו גם בזבוז משאבים כלכליים לריק, יש ליצור ודאות </w:t>
      </w:r>
      <w:r w:rsidR="00AF7737" w:rsidRPr="00AF7737">
        <w:rPr>
          <w:rtl/>
        </w:rPr>
        <w:t>ל</w:t>
      </w:r>
      <w:r w:rsidR="00AF7737">
        <w:rPr>
          <w:rFonts w:hint="cs"/>
          <w:rtl/>
        </w:rPr>
        <w:t>סטודנטים הלומדים תואר במשפטים.</w:t>
      </w:r>
      <w:r w:rsidR="00AF7737" w:rsidRPr="00AF7737">
        <w:rPr>
          <w:rtl/>
        </w:rPr>
        <w:t xml:space="preserve"> </w:t>
      </w:r>
      <w:r w:rsidRPr="00AF7737">
        <w:rPr>
          <w:rtl/>
        </w:rPr>
        <w:t>לפיכך</w:t>
      </w:r>
      <w:r w:rsidR="00B93DD7">
        <w:rPr>
          <w:rFonts w:hint="cs"/>
          <w:rtl/>
        </w:rPr>
        <w:t>,</w:t>
      </w:r>
      <w:r w:rsidRPr="00AF7737">
        <w:rPr>
          <w:rtl/>
        </w:rPr>
        <w:t xml:space="preserve"> מוצע לפצל את בחינת ההסמכה לשתי בחינות</w:t>
      </w:r>
      <w:r w:rsidR="000D0479">
        <w:rPr>
          <w:rFonts w:hint="cs"/>
          <w:rtl/>
        </w:rPr>
        <w:t>: חלקה הראשון של הבחינה יהיה לאחר שנת לימודים מלאה בתואר למשפטים, וחלקה השני של הבחינה יהיה עם סיום הלימודים וקבלת התואר</w:t>
      </w:r>
      <w:r w:rsidR="00B93DD7">
        <w:rPr>
          <w:rFonts w:hint="cs"/>
          <w:rtl/>
        </w:rPr>
        <w:t>,</w:t>
      </w:r>
      <w:r w:rsidR="000D0479">
        <w:rPr>
          <w:rFonts w:hint="cs"/>
          <w:rtl/>
        </w:rPr>
        <w:t xml:space="preserve"> כך שבין שני החלקים יהיו לפחות 28 חודשים. </w:t>
      </w:r>
      <w:r w:rsidRPr="00AF7737">
        <w:rPr>
          <w:rFonts w:hint="cs"/>
          <w:rtl/>
        </w:rPr>
        <w:t>ציון עובר בבחינה יהווה תנאי להתחלת ההתמחות</w:t>
      </w:r>
      <w:r w:rsidRPr="00AF7737">
        <w:rPr>
          <w:rtl/>
        </w:rPr>
        <w:t>.</w:t>
      </w:r>
    </w:p>
    <w:p w14:paraId="1013D551" w14:textId="1A619FCC" w:rsidR="006349EA" w:rsidRPr="000D0479" w:rsidRDefault="006349EA" w:rsidP="00C00B08">
      <w:pPr>
        <w:pStyle w:val="Hesber"/>
        <w:rPr>
          <w:rtl/>
        </w:rPr>
      </w:pPr>
      <w:r w:rsidRPr="00AF7737">
        <w:rPr>
          <w:rtl/>
        </w:rPr>
        <w:t xml:space="preserve">אימוץ הצעה זו, </w:t>
      </w:r>
      <w:r w:rsidR="000D0479">
        <w:rPr>
          <w:rFonts w:hint="cs"/>
          <w:rtl/>
        </w:rPr>
        <w:t>ישמור</w:t>
      </w:r>
      <w:r w:rsidRPr="00AF7737">
        <w:rPr>
          <w:rtl/>
        </w:rPr>
        <w:t xml:space="preserve"> על כבוד המקצוע מחד, </w:t>
      </w:r>
      <w:r w:rsidR="00C00B08">
        <w:rPr>
          <w:rFonts w:hint="cs"/>
          <w:rtl/>
        </w:rPr>
        <w:t>ויאפשר</w:t>
      </w:r>
      <w:r w:rsidR="000D0479">
        <w:rPr>
          <w:rFonts w:hint="cs"/>
          <w:rtl/>
        </w:rPr>
        <w:t xml:space="preserve"> ס</w:t>
      </w:r>
      <w:r w:rsidR="00C00B08">
        <w:rPr>
          <w:rFonts w:hint="cs"/>
          <w:rtl/>
        </w:rPr>
        <w:t>י</w:t>
      </w:r>
      <w:r w:rsidR="000D0479">
        <w:rPr>
          <w:rFonts w:hint="cs"/>
          <w:rtl/>
        </w:rPr>
        <w:t>נ</w:t>
      </w:r>
      <w:r w:rsidR="00C00B08">
        <w:rPr>
          <w:rFonts w:hint="cs"/>
          <w:rtl/>
        </w:rPr>
        <w:t>ו</w:t>
      </w:r>
      <w:r w:rsidR="000D0479">
        <w:rPr>
          <w:rFonts w:hint="cs"/>
          <w:rtl/>
        </w:rPr>
        <w:t xml:space="preserve">ן ראשוני </w:t>
      </w:r>
      <w:r w:rsidR="002843A2">
        <w:rPr>
          <w:rFonts w:hint="cs"/>
          <w:rtl/>
        </w:rPr>
        <w:t>ללומדי התואר למשפטים</w:t>
      </w:r>
      <w:r w:rsidR="00C00B08">
        <w:rPr>
          <w:rFonts w:hint="cs"/>
          <w:rtl/>
        </w:rPr>
        <w:t xml:space="preserve"> מאידך</w:t>
      </w:r>
      <w:r w:rsidR="002843A2">
        <w:rPr>
          <w:rFonts w:hint="cs"/>
          <w:rtl/>
        </w:rPr>
        <w:t>, וכך ימנע מהם עוגמת נפש ובזבוז של כסף וזמן.</w:t>
      </w:r>
      <w:r w:rsidRPr="00AF7737">
        <w:rPr>
          <w:rtl/>
        </w:rPr>
        <w:t xml:space="preserve"> </w:t>
      </w:r>
    </w:p>
    <w:p w14:paraId="7697CE53" w14:textId="748BAB28" w:rsidR="000B2984" w:rsidRDefault="006349EA" w:rsidP="00C00B08">
      <w:pPr>
        <w:pStyle w:val="Hesber"/>
        <w:rPr>
          <w:rtl/>
        </w:rPr>
      </w:pPr>
      <w:r w:rsidRPr="000D0479">
        <w:rPr>
          <w:rtl/>
        </w:rPr>
        <w:t>על מנת לאפשר ללשכת עורכי הדין ליישם רפורמה זו</w:t>
      </w:r>
      <w:r w:rsidRPr="000D0479">
        <w:rPr>
          <w:rFonts w:hint="cs"/>
          <w:rtl/>
        </w:rPr>
        <w:t>,</w:t>
      </w:r>
      <w:r w:rsidRPr="000D0479">
        <w:rPr>
          <w:rtl/>
        </w:rPr>
        <w:t xml:space="preserve"> מוצע </w:t>
      </w:r>
      <w:r w:rsidR="00B93DD7">
        <w:rPr>
          <w:rFonts w:hint="cs"/>
          <w:rtl/>
        </w:rPr>
        <w:t xml:space="preserve">כי החוק יחל שלוש שנים </w:t>
      </w:r>
      <w:r w:rsidR="00C00B08">
        <w:rPr>
          <w:rFonts w:hint="cs"/>
          <w:rtl/>
        </w:rPr>
        <w:t>ממועד חקיקתו</w:t>
      </w:r>
      <w:r w:rsidR="00B93DD7">
        <w:rPr>
          <w:rFonts w:hint="cs"/>
          <w:rtl/>
        </w:rPr>
        <w:t>.</w:t>
      </w:r>
      <w:r w:rsidRPr="000D0479">
        <w:rPr>
          <w:rtl/>
        </w:rPr>
        <w:t xml:space="preserve"> </w:t>
      </w:r>
    </w:p>
    <w:p w14:paraId="6ADD7C48" w14:textId="77777777" w:rsidR="005439CE" w:rsidRDefault="005439CE" w:rsidP="00C00B08">
      <w:pPr>
        <w:pStyle w:val="Hesber"/>
        <w:rPr>
          <w:rtl/>
        </w:rPr>
      </w:pPr>
    </w:p>
    <w:p w14:paraId="6B69B660" w14:textId="77777777" w:rsidR="005439CE" w:rsidRPr="00D73212" w:rsidRDefault="005439CE" w:rsidP="005439CE">
      <w:pPr>
        <w:pStyle w:val="Hesber"/>
        <w:ind w:firstLine="0"/>
        <w:rPr>
          <w:rtl/>
        </w:rPr>
      </w:pPr>
      <w:r w:rsidRPr="00D73212">
        <w:rPr>
          <w:rtl/>
        </w:rPr>
        <w:t>---------------------------------</w:t>
      </w:r>
    </w:p>
    <w:p w14:paraId="518676D0" w14:textId="77777777" w:rsidR="005439CE" w:rsidRPr="0051670D" w:rsidRDefault="005439CE" w:rsidP="005439CE">
      <w:pPr>
        <w:pStyle w:val="Hesber"/>
        <w:ind w:firstLine="0"/>
        <w:rPr>
          <w:sz w:val="26"/>
          <w:rtl/>
        </w:rPr>
      </w:pPr>
      <w:r w:rsidRPr="0051670D">
        <w:rPr>
          <w:rFonts w:hint="cs"/>
          <w:sz w:val="26"/>
          <w:rtl/>
        </w:rPr>
        <w:t>הוגשה</w:t>
      </w:r>
      <w:r w:rsidRPr="0051670D">
        <w:rPr>
          <w:sz w:val="26"/>
          <w:rtl/>
        </w:rPr>
        <w:t xml:space="preserve"> </w:t>
      </w:r>
      <w:r w:rsidRPr="0051670D">
        <w:rPr>
          <w:rFonts w:hint="cs"/>
          <w:sz w:val="26"/>
          <w:rtl/>
        </w:rPr>
        <w:t>ליו</w:t>
      </w:r>
      <w:r w:rsidRPr="0051670D">
        <w:rPr>
          <w:sz w:val="26"/>
          <w:rtl/>
        </w:rPr>
        <w:t>"</w:t>
      </w:r>
      <w:r w:rsidRPr="0051670D">
        <w:rPr>
          <w:rFonts w:hint="cs"/>
          <w:sz w:val="26"/>
          <w:rtl/>
        </w:rPr>
        <w:t>ר</w:t>
      </w:r>
      <w:r w:rsidRPr="0051670D">
        <w:rPr>
          <w:sz w:val="26"/>
          <w:rtl/>
        </w:rPr>
        <w:t xml:space="preserve"> </w:t>
      </w:r>
      <w:r w:rsidRPr="0051670D">
        <w:rPr>
          <w:rFonts w:hint="cs"/>
          <w:sz w:val="26"/>
          <w:rtl/>
        </w:rPr>
        <w:t>הכנסת</w:t>
      </w:r>
      <w:r w:rsidRPr="0051670D">
        <w:rPr>
          <w:sz w:val="26"/>
          <w:rtl/>
        </w:rPr>
        <w:t xml:space="preserve"> </w:t>
      </w:r>
      <w:r w:rsidRPr="0051670D">
        <w:rPr>
          <w:rFonts w:hint="cs"/>
          <w:sz w:val="26"/>
          <w:rtl/>
        </w:rPr>
        <w:t>והסגנים</w:t>
      </w:r>
    </w:p>
    <w:p w14:paraId="2E88DFCE" w14:textId="77777777" w:rsidR="005439CE" w:rsidRPr="0051670D" w:rsidRDefault="005439CE" w:rsidP="005439CE">
      <w:pPr>
        <w:pStyle w:val="Hesber"/>
        <w:ind w:firstLine="0"/>
        <w:rPr>
          <w:sz w:val="26"/>
          <w:rtl/>
        </w:rPr>
      </w:pPr>
      <w:r w:rsidRPr="0051670D">
        <w:rPr>
          <w:rFonts w:hint="cs"/>
          <w:sz w:val="26"/>
          <w:rtl/>
        </w:rPr>
        <w:t>והונחה</w:t>
      </w:r>
      <w:r w:rsidRPr="0051670D">
        <w:rPr>
          <w:sz w:val="26"/>
          <w:rtl/>
        </w:rPr>
        <w:t xml:space="preserve"> </w:t>
      </w:r>
      <w:r w:rsidRPr="0051670D">
        <w:rPr>
          <w:rFonts w:hint="cs"/>
          <w:sz w:val="26"/>
          <w:rtl/>
        </w:rPr>
        <w:t>על</w:t>
      </w:r>
      <w:r w:rsidRPr="0051670D">
        <w:rPr>
          <w:sz w:val="26"/>
          <w:rtl/>
        </w:rPr>
        <w:t xml:space="preserve"> </w:t>
      </w:r>
      <w:r w:rsidRPr="0051670D">
        <w:rPr>
          <w:rFonts w:hint="cs"/>
          <w:sz w:val="26"/>
          <w:rtl/>
        </w:rPr>
        <w:t>שולחן</w:t>
      </w:r>
      <w:r w:rsidRPr="0051670D">
        <w:rPr>
          <w:sz w:val="26"/>
          <w:rtl/>
        </w:rPr>
        <w:t xml:space="preserve"> </w:t>
      </w:r>
      <w:r w:rsidRPr="0051670D">
        <w:rPr>
          <w:rFonts w:hint="cs"/>
          <w:sz w:val="26"/>
          <w:rtl/>
        </w:rPr>
        <w:t>הכנסת</w:t>
      </w:r>
      <w:r w:rsidRPr="0051670D">
        <w:rPr>
          <w:sz w:val="26"/>
          <w:rtl/>
        </w:rPr>
        <w:t xml:space="preserve"> </w:t>
      </w:r>
      <w:r w:rsidRPr="0051670D">
        <w:rPr>
          <w:rFonts w:hint="cs"/>
          <w:sz w:val="26"/>
          <w:rtl/>
        </w:rPr>
        <w:t>ביום</w:t>
      </w:r>
    </w:p>
    <w:p w14:paraId="53FEBE4C" w14:textId="77777777" w:rsidR="005439CE" w:rsidRPr="0051670D" w:rsidRDefault="005439CE" w:rsidP="005439CE">
      <w:pPr>
        <w:pStyle w:val="Hesber"/>
        <w:ind w:firstLine="0"/>
        <w:rPr>
          <w:sz w:val="26"/>
          <w:rtl/>
        </w:rPr>
      </w:pPr>
      <w:r>
        <w:rPr>
          <w:rFonts w:hint="cs"/>
          <w:rtl/>
        </w:rPr>
        <w:t>כ"ט</w:t>
      </w:r>
      <w:r w:rsidRPr="0051670D">
        <w:rPr>
          <w:rFonts w:hint="cs"/>
          <w:sz w:val="26"/>
          <w:rtl/>
        </w:rPr>
        <w:t xml:space="preserve"> ב</w:t>
      </w:r>
      <w:r>
        <w:rPr>
          <w:rFonts w:hint="cs"/>
          <w:sz w:val="26"/>
          <w:rtl/>
        </w:rPr>
        <w:t>חשוון</w:t>
      </w:r>
      <w:r w:rsidRPr="0051670D">
        <w:rPr>
          <w:rFonts w:hint="cs"/>
          <w:sz w:val="26"/>
          <w:rtl/>
        </w:rPr>
        <w:t xml:space="preserve"> התש</w:t>
      </w:r>
      <w:r>
        <w:rPr>
          <w:rFonts w:hint="cs"/>
          <w:sz w:val="26"/>
          <w:rtl/>
        </w:rPr>
        <w:t>פ"א</w:t>
      </w:r>
      <w:r w:rsidRPr="0051670D">
        <w:rPr>
          <w:rFonts w:hint="cs"/>
          <w:sz w:val="26"/>
          <w:rtl/>
        </w:rPr>
        <w:t xml:space="preserve"> </w:t>
      </w:r>
      <w:r w:rsidRPr="0051670D">
        <w:rPr>
          <w:sz w:val="26"/>
          <w:rtl/>
        </w:rPr>
        <w:t>–</w:t>
      </w:r>
      <w:r w:rsidRPr="0051670D">
        <w:rPr>
          <w:rFonts w:hint="cs"/>
          <w:sz w:val="26"/>
          <w:rtl/>
        </w:rPr>
        <w:t xml:space="preserve"> </w:t>
      </w:r>
      <w:r>
        <w:rPr>
          <w:rFonts w:hint="cs"/>
          <w:sz w:val="26"/>
          <w:rtl/>
        </w:rPr>
        <w:t>16.11.20</w:t>
      </w:r>
    </w:p>
    <w:p w14:paraId="4DF5D7EE" w14:textId="77777777" w:rsidR="005439CE" w:rsidRPr="000D0479" w:rsidRDefault="005439CE" w:rsidP="00C00B08">
      <w:pPr>
        <w:pStyle w:val="Hesber"/>
        <w:rPr>
          <w:rtl/>
        </w:rPr>
      </w:pPr>
      <w:bookmarkStart w:id="6" w:name="_GoBack"/>
      <w:bookmarkEnd w:id="6"/>
    </w:p>
    <w:p w14:paraId="7F6961CB" w14:textId="77777777" w:rsidR="00E13C27" w:rsidRPr="002843A2" w:rsidRDefault="00E13C27" w:rsidP="00AF7737">
      <w:pPr>
        <w:pStyle w:val="Hesber"/>
        <w:rPr>
          <w:rtl/>
        </w:rPr>
      </w:pPr>
    </w:p>
    <w:sectPr w:rsidR="00E13C27" w:rsidRPr="002843A2" w:rsidSect="00C00B08">
      <w:footerReference w:type="even" r:id="rId11"/>
      <w:footerReference w:type="default" r:id="rId12"/>
      <w:pgSz w:w="11907" w:h="16840" w:code="9"/>
      <w:pgMar w:top="1701" w:right="1134" w:bottom="1417" w:left="1134" w:header="680" w:footer="680" w:gutter="0"/>
      <w:cols w:space="720"/>
      <w:noEndnote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5439CE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 w:rsidP="00C00B08">
      <w:pPr>
        <w:ind w:left="0"/>
      </w:pPr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49D24F9B" w14:textId="61A970D4" w:rsidR="0065547F" w:rsidRDefault="0065547F" w:rsidP="00C00B08">
      <w:pPr>
        <w:pStyle w:val="a4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התשכ"א, עמ' 178.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0B2984"/>
    <w:rsid w:val="000D0479"/>
    <w:rsid w:val="000E700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3ED2"/>
    <w:rsid w:val="001D7AAF"/>
    <w:rsid w:val="00203A7F"/>
    <w:rsid w:val="0021633A"/>
    <w:rsid w:val="002200A1"/>
    <w:rsid w:val="002279F0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843A2"/>
    <w:rsid w:val="00292712"/>
    <w:rsid w:val="002A487D"/>
    <w:rsid w:val="002C2E29"/>
    <w:rsid w:val="002C3041"/>
    <w:rsid w:val="002D1EE3"/>
    <w:rsid w:val="002D35FE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97148"/>
    <w:rsid w:val="004A06DC"/>
    <w:rsid w:val="004B24ED"/>
    <w:rsid w:val="004B6625"/>
    <w:rsid w:val="004D2D82"/>
    <w:rsid w:val="004D3876"/>
    <w:rsid w:val="004E4552"/>
    <w:rsid w:val="004E6CDF"/>
    <w:rsid w:val="005439CE"/>
    <w:rsid w:val="00553C9D"/>
    <w:rsid w:val="00562A66"/>
    <w:rsid w:val="005B064E"/>
    <w:rsid w:val="005D51AE"/>
    <w:rsid w:val="0062674B"/>
    <w:rsid w:val="006349EA"/>
    <w:rsid w:val="006363B2"/>
    <w:rsid w:val="00644940"/>
    <w:rsid w:val="0065547F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D3224"/>
    <w:rsid w:val="007D585A"/>
    <w:rsid w:val="007D5A12"/>
    <w:rsid w:val="007E59F9"/>
    <w:rsid w:val="00810BCD"/>
    <w:rsid w:val="00812C98"/>
    <w:rsid w:val="00814D92"/>
    <w:rsid w:val="00825A58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35C9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AF7737"/>
    <w:rsid w:val="00B10265"/>
    <w:rsid w:val="00B16A99"/>
    <w:rsid w:val="00B17061"/>
    <w:rsid w:val="00B21211"/>
    <w:rsid w:val="00B35784"/>
    <w:rsid w:val="00B733A7"/>
    <w:rsid w:val="00B75C91"/>
    <w:rsid w:val="00B93DD7"/>
    <w:rsid w:val="00B975AD"/>
    <w:rsid w:val="00BC45FB"/>
    <w:rsid w:val="00BF148D"/>
    <w:rsid w:val="00C00B08"/>
    <w:rsid w:val="00C23B1A"/>
    <w:rsid w:val="00C310EB"/>
    <w:rsid w:val="00C9176A"/>
    <w:rsid w:val="00CF1AA2"/>
    <w:rsid w:val="00D1119D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0247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C26773CE-6FF0-494C-ACF7-B88CC90E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737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F7737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AF7737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AF7737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AF7737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F7737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AF7737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AF7737"/>
    <w:rPr>
      <w:sz w:val="36"/>
      <w:szCs w:val="52"/>
    </w:rPr>
  </w:style>
  <w:style w:type="paragraph" w:customStyle="1" w:styleId="Cover3-Haknesset">
    <w:name w:val="Cover 3-Haknesset"/>
    <w:basedOn w:val="Cover1-Reshumot"/>
    <w:rsid w:val="00AF7737"/>
    <w:rPr>
      <w:b/>
      <w:bCs/>
      <w:spacing w:val="60"/>
    </w:rPr>
  </w:style>
  <w:style w:type="paragraph" w:customStyle="1" w:styleId="Cover4-Date">
    <w:name w:val="Cover 4-Date"/>
    <w:basedOn w:val="a"/>
    <w:rsid w:val="00AF7737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AF7737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AF7737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AF7737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AF7737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AF7737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AF7737"/>
    <w:pPr>
      <w:outlineLvl w:val="2"/>
    </w:pPr>
  </w:style>
  <w:style w:type="paragraph" w:customStyle="1" w:styleId="TableBlock">
    <w:name w:val="Table Block"/>
    <w:basedOn w:val="TableText"/>
    <w:rsid w:val="00AF7737"/>
    <w:pPr>
      <w:jc w:val="both"/>
    </w:pPr>
  </w:style>
  <w:style w:type="paragraph" w:customStyle="1" w:styleId="TableHead">
    <w:name w:val="Table Head"/>
    <w:basedOn w:val="TableText"/>
    <w:rsid w:val="00AF7737"/>
    <w:pPr>
      <w:jc w:val="center"/>
      <w:outlineLvl w:val="1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AF7737"/>
    <w:pPr>
      <w:outlineLvl w:val="9"/>
    </w:pPr>
  </w:style>
  <w:style w:type="paragraph" w:customStyle="1" w:styleId="Hesber">
    <w:name w:val="Hesber"/>
    <w:basedOn w:val="a"/>
    <w:rsid w:val="00AF7737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styleId="a4">
    <w:name w:val="footnote text"/>
    <w:basedOn w:val="a"/>
    <w:autoRedefine/>
    <w:semiHidden/>
    <w:rsid w:val="00C00B08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styleId="a5">
    <w:name w:val="footnote reference"/>
    <w:aliases w:val="Footnote Reference"/>
    <w:basedOn w:val="a0"/>
    <w:semiHidden/>
    <w:rsid w:val="00AF7737"/>
    <w:rPr>
      <w:vertAlign w:val="superscript"/>
    </w:rPr>
  </w:style>
  <w:style w:type="paragraph" w:customStyle="1" w:styleId="HesberHeading">
    <w:name w:val="Hesber Heading"/>
    <w:basedOn w:val="Hesber"/>
    <w:rsid w:val="00AF7737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AF7737"/>
    <w:pPr>
      <w:spacing w:before="120" w:after="12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AF7737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AF7737"/>
    <w:rPr>
      <w:vertAlign w:val="superscript"/>
    </w:rPr>
  </w:style>
  <w:style w:type="paragraph" w:customStyle="1" w:styleId="TableBlockOutdent">
    <w:name w:val="Table BlockOutdent"/>
    <w:basedOn w:val="TableBlock"/>
    <w:rsid w:val="00AF7737"/>
    <w:pPr>
      <w:ind w:left="624" w:hanging="624"/>
    </w:pPr>
  </w:style>
  <w:style w:type="paragraph" w:styleId="a7">
    <w:name w:val="header"/>
    <w:basedOn w:val="a"/>
    <w:rsid w:val="00AF773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AF7737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AF7737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AF7737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b/>
      <w:bCs/>
      <w:sz w:val="28"/>
      <w:szCs w:val="28"/>
      <w:u w:val="single"/>
    </w:rPr>
  </w:style>
  <w:style w:type="character" w:styleId="aa">
    <w:name w:val="page number"/>
    <w:basedOn w:val="a0"/>
    <w:rsid w:val="00AF7737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jc w:val="left"/>
    </w:pPr>
    <w:rPr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10">
    <w:name w:val="כותרת 1 תו"/>
    <w:basedOn w:val="a0"/>
    <w:link w:val="1"/>
    <w:uiPriority w:val="9"/>
    <w:rsid w:val="00AF7737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20">
    <w:name w:val="כותרת 2 תו"/>
    <w:basedOn w:val="a0"/>
    <w:link w:val="2"/>
    <w:rsid w:val="00AF7737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AF7737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AF7737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AF7737"/>
    <w:rPr>
      <w:rFonts w:ascii="David" w:eastAsiaTheme="minorHAnsi" w:hAnsi="David" w:cs="David"/>
      <w:color w:val="000000" w:themeColor="text1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AF7737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AF7737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AF7737"/>
    <w:pPr>
      <w:tabs>
        <w:tab w:val="right" w:leader="dot" w:pos="9628"/>
      </w:tabs>
      <w:spacing w:after="100"/>
    </w:pPr>
    <w:rPr>
      <w:szCs w:val="22"/>
    </w:rPr>
  </w:style>
  <w:style w:type="character" w:styleId="Hyperlink">
    <w:name w:val="Hyperlink"/>
    <w:basedOn w:val="a0"/>
    <w:uiPriority w:val="99"/>
    <w:unhideWhenUsed/>
    <w:rsid w:val="00AF7737"/>
    <w:rPr>
      <w:color w:val="0000FF" w:themeColor="hyperlink"/>
      <w:u w:val="single"/>
    </w:rPr>
  </w:style>
  <w:style w:type="paragraph" w:styleId="TOC3">
    <w:name w:val="toc 3"/>
    <w:basedOn w:val="a"/>
    <w:next w:val="a"/>
    <w:uiPriority w:val="39"/>
    <w:unhideWhenUsed/>
    <w:rsid w:val="00AF7737"/>
    <w:pPr>
      <w:numPr>
        <w:numId w:val="21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AF7737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AF7737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AF7737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AF7737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AF7737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AF7737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AF7737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AF7737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AF7737"/>
    <w:rPr>
      <w:rFonts w:eastAsia="Times New Roman"/>
    </w:rPr>
  </w:style>
  <w:style w:type="paragraph" w:styleId="ae">
    <w:name w:val="List Paragraph"/>
    <w:basedOn w:val="a"/>
    <w:uiPriority w:val="34"/>
    <w:qFormat/>
    <w:rsid w:val="00AF7737"/>
    <w:pPr>
      <w:widowControl/>
      <w:spacing w:line="259" w:lineRule="auto"/>
    </w:pPr>
    <w:rPr>
      <w:rFonts w:asciiTheme="minorHAnsi" w:hAnsiTheme="minorHAnsi"/>
      <w:sz w:val="22"/>
    </w:rPr>
  </w:style>
  <w:style w:type="table" w:styleId="af">
    <w:name w:val="Table Grid"/>
    <w:basedOn w:val="a1"/>
    <w:rsid w:val="00AF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AF773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AF773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0">
    <w:name w:val="טבלת חקיקה"/>
    <w:basedOn w:val="a1"/>
    <w:uiPriority w:val="99"/>
    <w:rsid w:val="00AF7737"/>
    <w:pPr>
      <w:jc w:val="center"/>
    </w:pPr>
    <w:rPr>
      <w:rFonts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AF7737"/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  <w:style w:type="paragraph" w:styleId="af1">
    <w:name w:val="Revision"/>
    <w:hidden/>
    <w:uiPriority w:val="99"/>
    <w:semiHidden/>
    <w:rsid w:val="00C00B08"/>
    <w:rPr>
      <w:rFonts w:ascii="David" w:eastAsiaTheme="minorHAnsi" w:hAnsi="David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D6E9C754E1F7C4C891E9EE2E0AF8150" ma:contentTypeVersion="" ma:contentTypeDescription="צור מסמך חדש." ma:contentTypeScope="" ma:versionID="9191f7e1bb085ece6465964dba42d442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fb4ed97e084053ed652bcef757b4ab45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7B616-4693-4BFE-89FF-933F4AA6A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4AFE3-9455-419C-8851-785A55F44517}">
  <ds:schemaRefs>
    <ds:schemaRef ds:uri="http://schemas.microsoft.com/office/infopath/2007/PartnerControls"/>
    <ds:schemaRef ds:uri="290d5b49-c690-4c6f-bbb9-1e50dab33ee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32EA4D3-1A48-4C97-A715-7D0BD975A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טליה דניאלה ווייס עמר</cp:lastModifiedBy>
  <cp:revision>18</cp:revision>
  <cp:lastPrinted>2013-07-04T08:25:00Z</cp:lastPrinted>
  <dcterms:created xsi:type="dcterms:W3CDTF">2015-04-20T09:58:00Z</dcterms:created>
  <dcterms:modified xsi:type="dcterms:W3CDTF">2020-11-12T11:28:00Z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0x0101003D6E9C754E1F7C4C891E9EE2E0AF8150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2148255</vt:r8>
  </property>
</Properties>
</file>