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547FF4">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2146275</w:t>
      </w:r>
      <w:bookmarkEnd w:id="0"/>
    </w:p>
    <w:p w14:paraId="7F6961A2" w14:textId="53D639AE" w:rsidR="00E13C27" w:rsidRPr="00DB7060" w:rsidRDefault="00E13C27" w:rsidP="00547FF4">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547FF4">
      <w:pPr>
        <w:rPr>
          <w:rFonts w:cs="David"/>
          <w:b/>
          <w:bCs/>
          <w:sz w:val="26"/>
          <w:szCs w:val="26"/>
          <w:rtl/>
        </w:rPr>
      </w:pPr>
    </w:p>
    <w:p w14:paraId="7F6961A6" w14:textId="77777777" w:rsidR="00E13C27" w:rsidRDefault="008F6665" w:rsidP="00547FF4">
      <w:pPr>
        <w:pStyle w:val="David"/>
        <w:spacing w:line="360" w:lineRule="auto"/>
        <w:ind w:left="3544"/>
        <w:rPr>
          <w:b/>
          <w:bCs/>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תהלה פרידמן</w:t>
      </w:r>
      <w:r>
        <w:br/>
      </w:r>
      <w:r>
        <w:rPr>
          <w:rFonts w:hint="cs"/>
          <w:b/>
          <w:bCs/>
          <w:rtl/>
        </w:rPr>
        <w:t xml:space="preserve"> </w:t>
      </w:r>
      <w:r>
        <w:tab/>
      </w:r>
      <w:r>
        <w:tab/>
      </w:r>
      <w:r>
        <w:tab/>
      </w:r>
      <w:r>
        <w:tab/>
      </w:r>
      <w:r>
        <w:rPr>
          <w:rFonts w:hint="cs"/>
          <w:b/>
          <w:bCs/>
          <w:rtl/>
        </w:rPr>
        <w:t>עינב קאבלה</w:t>
      </w:r>
      <w:r>
        <w:br/>
      </w:r>
      <w:r>
        <w:rPr>
          <w:rFonts w:hint="cs"/>
          <w:b/>
          <w:bCs/>
          <w:rtl/>
        </w:rPr>
        <w:t xml:space="preserve"> </w:t>
      </w:r>
      <w:r>
        <w:tab/>
      </w:r>
      <w:r>
        <w:tab/>
      </w:r>
      <w:r>
        <w:tab/>
      </w:r>
      <w:r>
        <w:tab/>
      </w:r>
      <w:r>
        <w:rPr>
          <w:rFonts w:hint="cs"/>
          <w:b/>
          <w:bCs/>
          <w:rtl/>
        </w:rPr>
        <w:t>קטי קטרין שטרית</w:t>
      </w:r>
      <w:r>
        <w:br/>
      </w:r>
      <w:r>
        <w:rPr>
          <w:rFonts w:hint="cs"/>
          <w:b/>
          <w:bCs/>
          <w:rtl/>
        </w:rPr>
        <w:t xml:space="preserve"> </w:t>
      </w:r>
      <w:r>
        <w:tab/>
      </w:r>
      <w:r>
        <w:tab/>
      </w:r>
      <w:r>
        <w:tab/>
      </w:r>
      <w:r>
        <w:tab/>
      </w:r>
      <w:r>
        <w:rPr>
          <w:rFonts w:hint="cs"/>
          <w:b/>
          <w:bCs/>
          <w:rtl/>
        </w:rPr>
        <w:t>מיכל וונש</w:t>
      </w:r>
      <w:r>
        <w:br/>
      </w:r>
      <w:r>
        <w:rPr>
          <w:rFonts w:hint="cs"/>
          <w:b/>
          <w:bCs/>
          <w:rtl/>
        </w:rPr>
        <w:t xml:space="preserve"> </w:t>
      </w:r>
      <w:r>
        <w:tab/>
      </w:r>
      <w:r>
        <w:tab/>
      </w:r>
      <w:r>
        <w:tab/>
      </w:r>
      <w:r>
        <w:tab/>
      </w:r>
      <w:r>
        <w:rPr>
          <w:rFonts w:hint="cs"/>
          <w:b/>
          <w:bCs/>
          <w:rtl/>
        </w:rPr>
        <w:t>אימאן ח'טיב יאסין</w:t>
      </w:r>
      <w:r>
        <w:br/>
      </w:r>
      <w:r>
        <w:rPr>
          <w:rFonts w:hint="cs"/>
          <w:b/>
          <w:bCs/>
          <w:rtl/>
        </w:rPr>
        <w:t xml:space="preserve"> </w:t>
      </w:r>
      <w:r>
        <w:tab/>
      </w:r>
      <w:r>
        <w:tab/>
      </w:r>
      <w:r>
        <w:tab/>
      </w:r>
      <w:r>
        <w:tab/>
      </w:r>
      <w:r>
        <w:rPr>
          <w:rFonts w:hint="cs"/>
          <w:b/>
          <w:bCs/>
          <w:rtl/>
        </w:rPr>
        <w:t>ע'דיר כמאל מריח</w:t>
      </w:r>
      <w:bookmarkEnd w:id="3"/>
    </w:p>
    <w:p w14:paraId="34DB4103" w14:textId="77777777" w:rsidR="00904591" w:rsidRPr="00904591" w:rsidRDefault="00266D86" w:rsidP="00547FF4">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823B77A" w:rsidR="00E13C27" w:rsidRPr="00E06736" w:rsidRDefault="00904591" w:rsidP="00BC1A3B">
      <w:pPr>
        <w:pStyle w:val="David"/>
        <w:spacing w:before="0" w:line="240" w:lineRule="auto"/>
        <w:ind w:left="6424" w:firstLine="56"/>
        <w:rPr>
          <w:rtl/>
        </w:rPr>
      </w:pPr>
      <w:bookmarkStart w:id="4" w:name="Private_Number"/>
      <w:r>
        <w:rPr>
          <w:rFonts w:hint="cs"/>
          <w:rtl/>
        </w:rPr>
        <w:t>פ/2251/23</w:t>
      </w:r>
      <w:bookmarkEnd w:id="4"/>
    </w:p>
    <w:p w14:paraId="7F6961AC" w14:textId="77777777" w:rsidR="00E13C27" w:rsidRDefault="00E13C27" w:rsidP="00547FF4">
      <w:pPr>
        <w:spacing w:before="0" w:line="360" w:lineRule="auto"/>
        <w:ind w:left="2880" w:firstLine="720"/>
        <w:rPr>
          <w:rFonts w:cs="David"/>
          <w:sz w:val="26"/>
          <w:szCs w:val="26"/>
          <w:rtl/>
        </w:rPr>
      </w:pPr>
    </w:p>
    <w:p w14:paraId="7F6961AD" w14:textId="77777777" w:rsidR="00E13C27" w:rsidRPr="00F67051" w:rsidRDefault="00A443CF" w:rsidP="00547FF4">
      <w:pPr>
        <w:pStyle w:val="HeadHatzaotHok"/>
        <w:rPr>
          <w:rtl/>
        </w:rPr>
      </w:pPr>
      <w:bookmarkStart w:id="5" w:name="LGS_Subject"/>
      <w:r>
        <w:rPr>
          <w:rFonts w:hint="cs"/>
          <w:rtl/>
        </w:rPr>
        <w:t>הצעת חוק חיסיון על טיפול נפשי בהליכים משפטיים שעניינם עבירות מין (תיקוני חקיקה), התשפ"א–2020</w:t>
      </w:r>
      <w:bookmarkEnd w:id="5"/>
    </w:p>
    <w:p w14:paraId="689AC89C" w14:textId="77777777" w:rsidR="00E735CD" w:rsidRDefault="00E735CD" w:rsidP="00547FF4">
      <w:pPr>
        <w:pStyle w:val="HeadDivreiHesber"/>
        <w:spacing w:before="0" w:after="0"/>
        <w:jc w:val="left"/>
        <w:rPr>
          <w:rtl/>
        </w:rPr>
      </w:pPr>
    </w:p>
    <w:tbl>
      <w:tblPr>
        <w:bidiVisual/>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600871" w14:paraId="0F250706" w14:textId="77777777" w:rsidTr="00547FF4">
        <w:trPr>
          <w:cantSplit/>
          <w:trHeight w:val="60"/>
        </w:trPr>
        <w:tc>
          <w:tcPr>
            <w:tcW w:w="1871" w:type="dxa"/>
            <w:tcBorders>
              <w:top w:val="nil"/>
              <w:left w:val="nil"/>
              <w:bottom w:val="nil"/>
              <w:right w:val="nil"/>
            </w:tcBorders>
          </w:tcPr>
          <w:p w14:paraId="5FE17FDC" w14:textId="7ABB280B" w:rsidR="00600871" w:rsidRDefault="00600871" w:rsidP="00547FF4">
            <w:pPr>
              <w:pStyle w:val="TableSideHeading"/>
              <w:keepLines w:val="0"/>
              <w:rPr>
                <w:rtl/>
              </w:rPr>
            </w:pPr>
            <w:r w:rsidRPr="00600871">
              <w:rPr>
                <w:rtl/>
              </w:rPr>
              <w:t>תיקון פקודת הראיות</w:t>
            </w:r>
          </w:p>
        </w:tc>
        <w:tc>
          <w:tcPr>
            <w:tcW w:w="624" w:type="dxa"/>
            <w:tcBorders>
              <w:top w:val="nil"/>
              <w:left w:val="nil"/>
              <w:bottom w:val="nil"/>
              <w:right w:val="nil"/>
            </w:tcBorders>
          </w:tcPr>
          <w:p w14:paraId="68F3094A" w14:textId="6CA11283" w:rsidR="00600871" w:rsidRDefault="00E735CD" w:rsidP="001415DE">
            <w:pPr>
              <w:pStyle w:val="TableText"/>
              <w:tabs>
                <w:tab w:val="clear" w:pos="624"/>
              </w:tabs>
              <w:ind w:right="0"/>
              <w:jc w:val="both"/>
              <w:rPr>
                <w:rtl/>
              </w:rPr>
            </w:pPr>
            <w:r>
              <w:rPr>
                <w:rFonts w:hint="cs"/>
                <w:rtl/>
              </w:rPr>
              <w:t>1.</w:t>
            </w:r>
          </w:p>
        </w:tc>
        <w:tc>
          <w:tcPr>
            <w:tcW w:w="7146" w:type="dxa"/>
            <w:gridSpan w:val="3"/>
            <w:tcBorders>
              <w:top w:val="nil"/>
              <w:left w:val="nil"/>
              <w:bottom w:val="nil"/>
              <w:right w:val="nil"/>
            </w:tcBorders>
          </w:tcPr>
          <w:p w14:paraId="4EB84B13" w14:textId="61215D0A" w:rsidR="00600871" w:rsidRPr="00383C00" w:rsidRDefault="00600871" w:rsidP="001415DE">
            <w:pPr>
              <w:pStyle w:val="TableBlock"/>
            </w:pPr>
            <w:r w:rsidRPr="00383C00">
              <w:rPr>
                <w:rtl/>
              </w:rPr>
              <w:t>בפקודת הראיות [נוסח חדש] , התשל"א–1971</w:t>
            </w:r>
            <w:r w:rsidR="006D0230">
              <w:rPr>
                <w:rStyle w:val="a6"/>
                <w:rtl/>
              </w:rPr>
              <w:footnoteReference w:id="2"/>
            </w:r>
            <w:r w:rsidR="006D0230">
              <w:rPr>
                <w:rFonts w:hint="cs"/>
                <w:rtl/>
              </w:rPr>
              <w:t xml:space="preserve"> –</w:t>
            </w:r>
          </w:p>
        </w:tc>
      </w:tr>
      <w:tr w:rsidR="006D0230" w14:paraId="1CF250ED" w14:textId="77777777" w:rsidTr="00547FF4">
        <w:trPr>
          <w:cantSplit/>
          <w:trHeight w:val="60"/>
        </w:trPr>
        <w:tc>
          <w:tcPr>
            <w:tcW w:w="1871" w:type="dxa"/>
            <w:tcBorders>
              <w:top w:val="nil"/>
              <w:left w:val="nil"/>
              <w:bottom w:val="nil"/>
              <w:right w:val="nil"/>
            </w:tcBorders>
          </w:tcPr>
          <w:p w14:paraId="3931DF24" w14:textId="77777777" w:rsidR="006D0230" w:rsidRPr="00600871" w:rsidRDefault="006D0230" w:rsidP="00547FF4">
            <w:pPr>
              <w:pStyle w:val="TableSideHeading"/>
              <w:keepLines w:val="0"/>
              <w:rPr>
                <w:rtl/>
              </w:rPr>
            </w:pPr>
          </w:p>
        </w:tc>
        <w:tc>
          <w:tcPr>
            <w:tcW w:w="624" w:type="dxa"/>
            <w:tcBorders>
              <w:top w:val="nil"/>
              <w:left w:val="nil"/>
              <w:bottom w:val="nil"/>
              <w:right w:val="nil"/>
            </w:tcBorders>
          </w:tcPr>
          <w:p w14:paraId="494A3328" w14:textId="77777777" w:rsidR="006D0230" w:rsidRDefault="006D0230" w:rsidP="001415DE">
            <w:pPr>
              <w:pStyle w:val="TableText"/>
              <w:rPr>
                <w:rtl/>
              </w:rPr>
            </w:pPr>
          </w:p>
        </w:tc>
        <w:tc>
          <w:tcPr>
            <w:tcW w:w="7146" w:type="dxa"/>
            <w:gridSpan w:val="3"/>
            <w:tcBorders>
              <w:top w:val="nil"/>
              <w:left w:val="nil"/>
              <w:bottom w:val="nil"/>
              <w:right w:val="nil"/>
            </w:tcBorders>
          </w:tcPr>
          <w:p w14:paraId="3E995F85" w14:textId="0AFDD5B3" w:rsidR="006D0230" w:rsidRPr="00383C00" w:rsidRDefault="006D0230">
            <w:pPr>
              <w:pStyle w:val="TableBlock"/>
              <w:rPr>
                <w:rtl/>
              </w:rPr>
            </w:pPr>
            <w:r>
              <w:rPr>
                <w:rFonts w:hint="cs"/>
                <w:rtl/>
              </w:rPr>
              <w:t>(1)</w:t>
            </w:r>
            <w:r>
              <w:rPr>
                <w:rtl/>
              </w:rPr>
              <w:tab/>
            </w:r>
            <w:r w:rsidRPr="00383C00">
              <w:rPr>
                <w:rFonts w:hint="eastAsia"/>
                <w:rtl/>
              </w:rPr>
              <w:t>בסעיף</w:t>
            </w:r>
            <w:r w:rsidRPr="00383C00">
              <w:rPr>
                <w:rtl/>
              </w:rPr>
              <w:t xml:space="preserve"> 50, </w:t>
            </w:r>
            <w:r w:rsidRPr="00383C00">
              <w:rPr>
                <w:rFonts w:hint="eastAsia"/>
                <w:rtl/>
              </w:rPr>
              <w:t>אחרי</w:t>
            </w:r>
            <w:r w:rsidRPr="00383C00">
              <w:rPr>
                <w:rtl/>
              </w:rPr>
              <w:t xml:space="preserve"> </w:t>
            </w:r>
            <w:r w:rsidRPr="00383C00">
              <w:rPr>
                <w:rFonts w:hint="eastAsia"/>
                <w:rtl/>
              </w:rPr>
              <w:t>סעיף</w:t>
            </w:r>
            <w:r w:rsidRPr="00383C00">
              <w:rPr>
                <w:rtl/>
              </w:rPr>
              <w:t xml:space="preserve"> </w:t>
            </w:r>
            <w:r w:rsidRPr="00383C00">
              <w:rPr>
                <w:rFonts w:hint="eastAsia"/>
                <w:rtl/>
              </w:rPr>
              <w:t>קטן</w:t>
            </w:r>
            <w:r w:rsidRPr="00383C00">
              <w:rPr>
                <w:rtl/>
              </w:rPr>
              <w:t xml:space="preserve"> (א) יבוא:</w:t>
            </w:r>
          </w:p>
        </w:tc>
      </w:tr>
      <w:tr w:rsidR="00383C00" w14:paraId="449BC20F" w14:textId="77777777" w:rsidTr="00547FF4">
        <w:trPr>
          <w:cantSplit/>
          <w:trHeight w:val="60"/>
        </w:trPr>
        <w:tc>
          <w:tcPr>
            <w:tcW w:w="1871" w:type="dxa"/>
            <w:tcBorders>
              <w:top w:val="nil"/>
              <w:left w:val="nil"/>
              <w:bottom w:val="nil"/>
              <w:right w:val="nil"/>
            </w:tcBorders>
          </w:tcPr>
          <w:p w14:paraId="071F67CF" w14:textId="77777777" w:rsidR="00383C00" w:rsidRPr="00600871" w:rsidRDefault="00383C00" w:rsidP="00547FF4">
            <w:pPr>
              <w:pStyle w:val="TableSideHeading"/>
              <w:keepLines w:val="0"/>
              <w:rPr>
                <w:rtl/>
              </w:rPr>
            </w:pPr>
          </w:p>
        </w:tc>
        <w:tc>
          <w:tcPr>
            <w:tcW w:w="624" w:type="dxa"/>
            <w:tcBorders>
              <w:top w:val="nil"/>
              <w:left w:val="nil"/>
              <w:bottom w:val="nil"/>
              <w:right w:val="nil"/>
            </w:tcBorders>
          </w:tcPr>
          <w:p w14:paraId="5ADE2B2B" w14:textId="77777777" w:rsidR="00383C00" w:rsidRDefault="00383C00" w:rsidP="001415DE">
            <w:pPr>
              <w:pStyle w:val="TableText"/>
              <w:rPr>
                <w:rtl/>
              </w:rPr>
            </w:pPr>
          </w:p>
        </w:tc>
        <w:tc>
          <w:tcPr>
            <w:tcW w:w="7146" w:type="dxa"/>
            <w:gridSpan w:val="3"/>
            <w:tcBorders>
              <w:top w:val="nil"/>
              <w:left w:val="nil"/>
              <w:bottom w:val="nil"/>
              <w:right w:val="nil"/>
            </w:tcBorders>
          </w:tcPr>
          <w:p w14:paraId="182AFF95" w14:textId="5B93F5D9" w:rsidR="00383C00" w:rsidRPr="00383C00" w:rsidRDefault="0085725E" w:rsidP="001415DE">
            <w:pPr>
              <w:pStyle w:val="TableBlock"/>
              <w:rPr>
                <w:rtl/>
              </w:rPr>
            </w:pPr>
            <w:r>
              <w:rPr>
                <w:rtl/>
              </w:rPr>
              <w:t>"(א1)</w:t>
            </w:r>
            <w:r>
              <w:rPr>
                <w:rtl/>
              </w:rPr>
              <w:tab/>
            </w:r>
            <w:r w:rsidR="00383C00" w:rsidRPr="00600871">
              <w:rPr>
                <w:rtl/>
              </w:rPr>
              <w:t xml:space="preserve">על אף האמור בסעיף קטן (א), בהליכים </w:t>
            </w:r>
            <w:r>
              <w:rPr>
                <w:rFonts w:hint="cs"/>
                <w:rtl/>
              </w:rPr>
              <w:t>פליליים שבהם מואשם אדם בביצוע</w:t>
            </w:r>
            <w:r w:rsidR="00383C00" w:rsidRPr="00600871">
              <w:rPr>
                <w:rtl/>
              </w:rPr>
              <w:t xml:space="preserve"> עבירות הקבועות בסימן ה' של פרק י' לחוק העונשין התשל"ז–1977</w:t>
            </w:r>
            <w:r>
              <w:rPr>
                <w:rStyle w:val="a6"/>
                <w:rtl/>
              </w:rPr>
              <w:footnoteReference w:id="3"/>
            </w:r>
            <w:r w:rsidR="00383C00" w:rsidRPr="00600871">
              <w:rPr>
                <w:rtl/>
              </w:rPr>
              <w:t>, לא ימסור פסיכולוג</w:t>
            </w:r>
            <w:r w:rsidR="00B86DD9">
              <w:rPr>
                <w:rFonts w:hint="cs"/>
                <w:rtl/>
              </w:rPr>
              <w:t>-</w:t>
            </w:r>
            <w:r w:rsidR="00383C00" w:rsidRPr="00600871">
              <w:rPr>
                <w:rtl/>
              </w:rPr>
              <w:t xml:space="preserve">מומחה </w:t>
            </w:r>
            <w:r w:rsidR="008F3474">
              <w:rPr>
                <w:rFonts w:hint="cs"/>
                <w:rtl/>
              </w:rPr>
              <w:t xml:space="preserve">או עובד שלו, </w:t>
            </w:r>
            <w:r w:rsidR="00383C00" w:rsidRPr="00600871">
              <w:rPr>
                <w:rtl/>
              </w:rPr>
              <w:t>ראיה על כל דבר הנוגע לנפגע עבירה שנזקק לשירותו</w:t>
            </w:r>
            <w:r w:rsidR="008F3474">
              <w:rPr>
                <w:rFonts w:hint="cs"/>
                <w:rtl/>
              </w:rPr>
              <w:t xml:space="preserve"> של הפסיכולוג</w:t>
            </w:r>
            <w:r w:rsidR="00383C00" w:rsidRPr="00600871">
              <w:rPr>
                <w:rtl/>
              </w:rPr>
              <w:t>, אלא</w:t>
            </w:r>
            <w:r>
              <w:rPr>
                <w:rtl/>
              </w:rPr>
              <w:t xml:space="preserve"> אם ויתר נפגע העבירה על החיסיון</w:t>
            </w:r>
            <w:r w:rsidR="008F3474">
              <w:rPr>
                <w:rFonts w:hint="cs"/>
                <w:rtl/>
              </w:rPr>
              <w:t>.</w:t>
            </w:r>
            <w:r w:rsidR="00383C00" w:rsidRPr="00600871">
              <w:rPr>
                <w:rtl/>
              </w:rPr>
              <w:t xml:space="preserve">   </w:t>
            </w:r>
          </w:p>
        </w:tc>
      </w:tr>
      <w:tr w:rsidR="0085725E" w14:paraId="291C2C72" w14:textId="77777777" w:rsidTr="00547FF4">
        <w:trPr>
          <w:cantSplit/>
          <w:trHeight w:val="60"/>
        </w:trPr>
        <w:tc>
          <w:tcPr>
            <w:tcW w:w="1871" w:type="dxa"/>
            <w:tcBorders>
              <w:top w:val="nil"/>
              <w:left w:val="nil"/>
              <w:bottom w:val="nil"/>
              <w:right w:val="nil"/>
            </w:tcBorders>
          </w:tcPr>
          <w:p w14:paraId="6C13B8A2" w14:textId="77777777" w:rsidR="0085725E" w:rsidRPr="00600871" w:rsidRDefault="0085725E" w:rsidP="00547FF4">
            <w:pPr>
              <w:pStyle w:val="TableSideHeading"/>
              <w:keepLines w:val="0"/>
              <w:rPr>
                <w:rtl/>
              </w:rPr>
            </w:pPr>
          </w:p>
        </w:tc>
        <w:tc>
          <w:tcPr>
            <w:tcW w:w="624" w:type="dxa"/>
            <w:tcBorders>
              <w:top w:val="nil"/>
              <w:left w:val="nil"/>
              <w:bottom w:val="nil"/>
              <w:right w:val="nil"/>
            </w:tcBorders>
          </w:tcPr>
          <w:p w14:paraId="4B9F1B3B" w14:textId="77777777" w:rsidR="0085725E" w:rsidRDefault="0085725E" w:rsidP="00F37F65">
            <w:pPr>
              <w:pStyle w:val="TableText"/>
              <w:rPr>
                <w:rtl/>
              </w:rPr>
            </w:pPr>
          </w:p>
        </w:tc>
        <w:tc>
          <w:tcPr>
            <w:tcW w:w="7146" w:type="dxa"/>
            <w:gridSpan w:val="3"/>
            <w:tcBorders>
              <w:top w:val="nil"/>
              <w:left w:val="nil"/>
              <w:bottom w:val="nil"/>
              <w:right w:val="nil"/>
            </w:tcBorders>
          </w:tcPr>
          <w:p w14:paraId="31E4945B" w14:textId="3396BD39" w:rsidR="0085725E" w:rsidRPr="00600871" w:rsidRDefault="0085725E" w:rsidP="00383C00">
            <w:pPr>
              <w:pStyle w:val="TableBlock"/>
              <w:rPr>
                <w:rtl/>
              </w:rPr>
            </w:pPr>
            <w:r>
              <w:rPr>
                <w:rFonts w:hint="cs"/>
                <w:rtl/>
              </w:rPr>
              <w:t>(א2)</w:t>
            </w:r>
            <w:r>
              <w:rPr>
                <w:rtl/>
              </w:rPr>
              <w:tab/>
            </w:r>
            <w:r w:rsidR="008F3474">
              <w:rPr>
                <w:rFonts w:hint="cs"/>
                <w:rtl/>
              </w:rPr>
              <w:t>במשפט אזרחי בקשר עם הליך כאמור</w:t>
            </w:r>
            <w:r>
              <w:rPr>
                <w:rFonts w:hint="cs"/>
                <w:rtl/>
              </w:rPr>
              <w:t xml:space="preserve"> </w:t>
            </w:r>
            <w:r w:rsidR="008F3474">
              <w:rPr>
                <w:rFonts w:hint="cs"/>
                <w:rtl/>
              </w:rPr>
              <w:t>ב</w:t>
            </w:r>
            <w:r>
              <w:rPr>
                <w:rFonts w:hint="cs"/>
                <w:rtl/>
              </w:rPr>
              <w:t>סעיף קטן (א1) שבעלי הדין בו הם נפגע העבירה כאמור באותו סעיף קטן והחשוד או מי שהיה חשוד באותה העבירה, יחול החיסיון כאמור בסעיף קטן (א1).</w:t>
            </w:r>
          </w:p>
        </w:tc>
      </w:tr>
      <w:tr w:rsidR="0085725E" w14:paraId="178BA457" w14:textId="77777777" w:rsidTr="00547FF4">
        <w:trPr>
          <w:cantSplit/>
          <w:trHeight w:val="60"/>
        </w:trPr>
        <w:tc>
          <w:tcPr>
            <w:tcW w:w="1871" w:type="dxa"/>
            <w:tcBorders>
              <w:top w:val="nil"/>
              <w:left w:val="nil"/>
              <w:bottom w:val="nil"/>
              <w:right w:val="nil"/>
            </w:tcBorders>
          </w:tcPr>
          <w:p w14:paraId="66E9CEF1" w14:textId="77777777" w:rsidR="0085725E" w:rsidRPr="00600871" w:rsidRDefault="0085725E" w:rsidP="00547FF4">
            <w:pPr>
              <w:pStyle w:val="TableSideHeading"/>
              <w:keepLines w:val="0"/>
              <w:rPr>
                <w:rtl/>
              </w:rPr>
            </w:pPr>
          </w:p>
        </w:tc>
        <w:tc>
          <w:tcPr>
            <w:tcW w:w="624" w:type="dxa"/>
            <w:tcBorders>
              <w:top w:val="nil"/>
              <w:left w:val="nil"/>
              <w:bottom w:val="nil"/>
              <w:right w:val="nil"/>
            </w:tcBorders>
          </w:tcPr>
          <w:p w14:paraId="32B4DDE0" w14:textId="77777777" w:rsidR="0085725E" w:rsidRDefault="0085725E" w:rsidP="00F37F65">
            <w:pPr>
              <w:pStyle w:val="TableText"/>
              <w:rPr>
                <w:rtl/>
              </w:rPr>
            </w:pPr>
          </w:p>
        </w:tc>
        <w:tc>
          <w:tcPr>
            <w:tcW w:w="7146" w:type="dxa"/>
            <w:gridSpan w:val="3"/>
            <w:tcBorders>
              <w:top w:val="nil"/>
              <w:left w:val="nil"/>
              <w:bottom w:val="nil"/>
              <w:right w:val="nil"/>
            </w:tcBorders>
          </w:tcPr>
          <w:p w14:paraId="5FB0AA8C" w14:textId="19F2773F" w:rsidR="0085725E" w:rsidRDefault="0085725E" w:rsidP="00C80DB2">
            <w:pPr>
              <w:pStyle w:val="TableBlock"/>
              <w:rPr>
                <w:rtl/>
              </w:rPr>
            </w:pPr>
            <w:r>
              <w:rPr>
                <w:rFonts w:hint="cs"/>
                <w:rtl/>
              </w:rPr>
              <w:t>(א</w:t>
            </w:r>
            <w:r w:rsidR="00D151BC">
              <w:rPr>
                <w:rFonts w:hint="cs"/>
                <w:rtl/>
              </w:rPr>
              <w:t>3</w:t>
            </w:r>
            <w:r>
              <w:rPr>
                <w:rFonts w:hint="cs"/>
                <w:rtl/>
              </w:rPr>
              <w:t>)</w:t>
            </w:r>
            <w:r>
              <w:rPr>
                <w:rtl/>
              </w:rPr>
              <w:tab/>
            </w:r>
            <w:r>
              <w:rPr>
                <w:rFonts w:hint="cs"/>
                <w:rtl/>
              </w:rPr>
              <w:t>ויתור נפגע העבירה על החיסיון כאמור בסעיף קטן (א</w:t>
            </w:r>
            <w:r w:rsidR="00D151BC">
              <w:rPr>
                <w:rFonts w:hint="cs"/>
                <w:rtl/>
              </w:rPr>
              <w:t>1</w:t>
            </w:r>
            <w:r>
              <w:rPr>
                <w:rFonts w:hint="cs"/>
                <w:rtl/>
              </w:rPr>
              <w:t xml:space="preserve">), </w:t>
            </w:r>
            <w:r w:rsidR="00F37F65">
              <w:rPr>
                <w:rFonts w:hint="cs"/>
                <w:rtl/>
              </w:rPr>
              <w:t>ייעשה בטופס סודיות מיוחד ונפרד מטופס כללי לוויתור על סודיות מטופל,</w:t>
            </w:r>
            <w:r>
              <w:rPr>
                <w:rFonts w:hint="cs"/>
                <w:rtl/>
              </w:rPr>
              <w:t xml:space="preserve"> </w:t>
            </w:r>
            <w:r w:rsidR="00F37F65">
              <w:rPr>
                <w:rFonts w:hint="cs"/>
                <w:rtl/>
              </w:rPr>
              <w:t>ו</w:t>
            </w:r>
            <w:r>
              <w:rPr>
                <w:rFonts w:hint="cs"/>
                <w:rtl/>
              </w:rPr>
              <w:t xml:space="preserve">לאחר שבית המשפט יסביר לו את משמעות הוויתור על החיסיון ויידע אותו על זכותו </w:t>
            </w:r>
            <w:r w:rsidRPr="008602B7">
              <w:rPr>
                <w:rFonts w:hint="cs"/>
                <w:rtl/>
              </w:rPr>
              <w:t xml:space="preserve">לייעוץ משפטי </w:t>
            </w:r>
            <w:r>
              <w:rPr>
                <w:rFonts w:hint="cs"/>
                <w:rtl/>
              </w:rPr>
              <w:t>בעניין הוויתור</w:t>
            </w:r>
            <w:r w:rsidRPr="008602B7">
              <w:rPr>
                <w:rFonts w:hint="cs"/>
                <w:rtl/>
              </w:rPr>
              <w:t xml:space="preserve">, ללא </w:t>
            </w:r>
            <w:r>
              <w:rPr>
                <w:rFonts w:hint="cs"/>
                <w:rtl/>
              </w:rPr>
              <w:t>צורך ב</w:t>
            </w:r>
            <w:r w:rsidRPr="008602B7">
              <w:rPr>
                <w:rFonts w:hint="cs"/>
                <w:rtl/>
              </w:rPr>
              <w:t>הוכחת זכאות כלכלית, מכוח חוק הסיוע המשפטי התשל"ב</w:t>
            </w:r>
            <w:r>
              <w:rPr>
                <w:rFonts w:hint="eastAsia"/>
                <w:rtl/>
              </w:rPr>
              <w:t>–</w:t>
            </w:r>
            <w:r w:rsidRPr="008602B7">
              <w:rPr>
                <w:rFonts w:hint="cs"/>
                <w:rtl/>
              </w:rPr>
              <w:t>1972</w:t>
            </w:r>
            <w:r>
              <w:rPr>
                <w:rStyle w:val="a6"/>
                <w:rtl/>
              </w:rPr>
              <w:footnoteReference w:id="4"/>
            </w:r>
            <w:r>
              <w:rPr>
                <w:rFonts w:hint="cs"/>
                <w:rtl/>
              </w:rPr>
              <w:t>."</w:t>
            </w:r>
          </w:p>
        </w:tc>
      </w:tr>
      <w:tr w:rsidR="006D0230" w14:paraId="029B5186" w14:textId="77777777" w:rsidTr="00547FF4">
        <w:trPr>
          <w:cantSplit/>
          <w:trHeight w:val="60"/>
        </w:trPr>
        <w:tc>
          <w:tcPr>
            <w:tcW w:w="1871" w:type="dxa"/>
            <w:tcBorders>
              <w:top w:val="nil"/>
              <w:left w:val="nil"/>
              <w:bottom w:val="nil"/>
              <w:right w:val="nil"/>
            </w:tcBorders>
          </w:tcPr>
          <w:p w14:paraId="41E6541C" w14:textId="77777777" w:rsidR="006D0230" w:rsidRPr="00600871" w:rsidRDefault="006D0230" w:rsidP="00547FF4">
            <w:pPr>
              <w:pStyle w:val="TableSideHeading"/>
              <w:keepLines w:val="0"/>
              <w:rPr>
                <w:rtl/>
              </w:rPr>
            </w:pPr>
          </w:p>
        </w:tc>
        <w:tc>
          <w:tcPr>
            <w:tcW w:w="624" w:type="dxa"/>
            <w:tcBorders>
              <w:top w:val="nil"/>
              <w:left w:val="nil"/>
              <w:bottom w:val="nil"/>
              <w:right w:val="nil"/>
            </w:tcBorders>
          </w:tcPr>
          <w:p w14:paraId="3C35A0F2" w14:textId="77777777" w:rsidR="006D0230" w:rsidRDefault="006D0230" w:rsidP="0085725E">
            <w:pPr>
              <w:pStyle w:val="TableText"/>
              <w:rPr>
                <w:rtl/>
              </w:rPr>
            </w:pPr>
          </w:p>
        </w:tc>
        <w:tc>
          <w:tcPr>
            <w:tcW w:w="7146" w:type="dxa"/>
            <w:gridSpan w:val="3"/>
            <w:tcBorders>
              <w:top w:val="nil"/>
              <w:left w:val="nil"/>
              <w:bottom w:val="nil"/>
              <w:right w:val="nil"/>
            </w:tcBorders>
          </w:tcPr>
          <w:p w14:paraId="706C3788" w14:textId="34E42C0E" w:rsidR="006D0230" w:rsidRPr="00600871" w:rsidRDefault="006D0230" w:rsidP="00383C00">
            <w:pPr>
              <w:pStyle w:val="TableBlock"/>
              <w:rPr>
                <w:rtl/>
              </w:rPr>
            </w:pPr>
            <w:r>
              <w:rPr>
                <w:rFonts w:hint="cs"/>
                <w:rtl/>
              </w:rPr>
              <w:t>(2)</w:t>
            </w:r>
            <w:r>
              <w:rPr>
                <w:rtl/>
              </w:rPr>
              <w:tab/>
            </w:r>
            <w:r>
              <w:rPr>
                <w:rFonts w:hint="cs"/>
                <w:rtl/>
              </w:rPr>
              <w:t>בסעיף 50א, אחרי סעיף קטן (א) יבוא:</w:t>
            </w:r>
          </w:p>
        </w:tc>
      </w:tr>
      <w:tr w:rsidR="006D0230" w14:paraId="38C23DFE" w14:textId="77777777" w:rsidTr="00547FF4">
        <w:trPr>
          <w:cantSplit/>
          <w:trHeight w:val="60"/>
        </w:trPr>
        <w:tc>
          <w:tcPr>
            <w:tcW w:w="1871" w:type="dxa"/>
            <w:tcBorders>
              <w:top w:val="nil"/>
              <w:left w:val="nil"/>
              <w:bottom w:val="nil"/>
              <w:right w:val="nil"/>
            </w:tcBorders>
          </w:tcPr>
          <w:p w14:paraId="3D7993ED" w14:textId="77777777" w:rsidR="006D0230" w:rsidRPr="00600871" w:rsidRDefault="006D0230" w:rsidP="00547FF4">
            <w:pPr>
              <w:pStyle w:val="TableSideHeading"/>
              <w:keepLines w:val="0"/>
              <w:rPr>
                <w:rtl/>
              </w:rPr>
            </w:pPr>
          </w:p>
        </w:tc>
        <w:tc>
          <w:tcPr>
            <w:tcW w:w="624" w:type="dxa"/>
            <w:tcBorders>
              <w:top w:val="nil"/>
              <w:left w:val="nil"/>
              <w:bottom w:val="nil"/>
              <w:right w:val="nil"/>
            </w:tcBorders>
          </w:tcPr>
          <w:p w14:paraId="7C2CBDAA" w14:textId="77777777" w:rsidR="006D0230" w:rsidRDefault="006D0230" w:rsidP="0085725E">
            <w:pPr>
              <w:pStyle w:val="TableText"/>
              <w:rPr>
                <w:rtl/>
              </w:rPr>
            </w:pPr>
          </w:p>
        </w:tc>
        <w:tc>
          <w:tcPr>
            <w:tcW w:w="7146" w:type="dxa"/>
            <w:gridSpan w:val="3"/>
            <w:tcBorders>
              <w:top w:val="nil"/>
              <w:left w:val="nil"/>
              <w:bottom w:val="nil"/>
              <w:right w:val="nil"/>
            </w:tcBorders>
          </w:tcPr>
          <w:p w14:paraId="5B752967" w14:textId="1F70872D" w:rsidR="006D0230" w:rsidRPr="0085725E" w:rsidRDefault="0085725E" w:rsidP="001415DE">
            <w:pPr>
              <w:pStyle w:val="TableBlock"/>
              <w:rPr>
                <w:rtl/>
              </w:rPr>
            </w:pPr>
            <w:r>
              <w:rPr>
                <w:rtl/>
              </w:rPr>
              <w:t>"(א1)</w:t>
            </w:r>
            <w:r>
              <w:rPr>
                <w:rtl/>
              </w:rPr>
              <w:tab/>
            </w:r>
            <w:r>
              <w:rPr>
                <w:rFonts w:hint="cs"/>
                <w:rtl/>
              </w:rPr>
              <w:t xml:space="preserve">על אף האמור בסעיף קטן (א), </w:t>
            </w:r>
            <w:r w:rsidRPr="008602B7">
              <w:rPr>
                <w:rFonts w:hint="cs"/>
                <w:rtl/>
              </w:rPr>
              <w:t>בהליכים</w:t>
            </w:r>
            <w:r>
              <w:rPr>
                <w:rFonts w:hint="cs"/>
                <w:rtl/>
              </w:rPr>
              <w:t xml:space="preserve"> פליליים שבהם מואשם אדם בביצוע</w:t>
            </w:r>
            <w:r w:rsidRPr="008602B7">
              <w:rPr>
                <w:rFonts w:hint="cs"/>
                <w:rtl/>
              </w:rPr>
              <w:t xml:space="preserve"> עבירות הקבועות בסימן ה' של פרק י' לחוק העונשין</w:t>
            </w:r>
            <w:r>
              <w:rPr>
                <w:rFonts w:hint="cs"/>
                <w:rtl/>
              </w:rPr>
              <w:t>,</w:t>
            </w:r>
            <w:r w:rsidRPr="008602B7">
              <w:rPr>
                <w:rFonts w:hint="cs"/>
                <w:rtl/>
              </w:rPr>
              <w:t xml:space="preserve"> התשל"ז</w:t>
            </w:r>
            <w:r>
              <w:rPr>
                <w:rFonts w:hint="eastAsia"/>
                <w:rtl/>
              </w:rPr>
              <w:t>–</w:t>
            </w:r>
            <w:r w:rsidRPr="008602B7">
              <w:rPr>
                <w:rFonts w:hint="cs"/>
                <w:rtl/>
              </w:rPr>
              <w:t>1977</w:t>
            </w:r>
            <w:r w:rsidR="00BA6324">
              <w:rPr>
                <w:rFonts w:hint="cs"/>
                <w:rtl/>
              </w:rPr>
              <w:t xml:space="preserve"> </w:t>
            </w:r>
            <w:r w:rsidRPr="008602B7">
              <w:rPr>
                <w:rFonts w:hint="cs"/>
                <w:rtl/>
              </w:rPr>
              <w:t>לא ימסור עובד סוציאלי</w:t>
            </w:r>
            <w:r w:rsidR="008F3474">
              <w:rPr>
                <w:rFonts w:hint="cs"/>
                <w:rtl/>
              </w:rPr>
              <w:t xml:space="preserve"> או עובד שלו</w:t>
            </w:r>
            <w:r>
              <w:rPr>
                <w:rFonts w:hint="cs"/>
                <w:rtl/>
              </w:rPr>
              <w:t xml:space="preserve">, </w:t>
            </w:r>
            <w:r w:rsidRPr="008602B7">
              <w:rPr>
                <w:rFonts w:hint="cs"/>
                <w:rtl/>
              </w:rPr>
              <w:t>ראיה על דבר הנוגע לנפגע עבירה שנזקק לשירותו, אלא אם ויתר נפגע העבירה על החיסיון</w:t>
            </w:r>
            <w:r w:rsidR="008F3474">
              <w:rPr>
                <w:rFonts w:hint="cs"/>
                <w:rtl/>
              </w:rPr>
              <w:t>.</w:t>
            </w:r>
          </w:p>
        </w:tc>
      </w:tr>
      <w:tr w:rsidR="0085725E" w14:paraId="5C8F5F17" w14:textId="77777777" w:rsidTr="00547FF4">
        <w:trPr>
          <w:cantSplit/>
          <w:trHeight w:val="60"/>
        </w:trPr>
        <w:tc>
          <w:tcPr>
            <w:tcW w:w="1871" w:type="dxa"/>
            <w:tcBorders>
              <w:top w:val="nil"/>
              <w:left w:val="nil"/>
              <w:bottom w:val="nil"/>
              <w:right w:val="nil"/>
            </w:tcBorders>
          </w:tcPr>
          <w:p w14:paraId="5078737E" w14:textId="77777777" w:rsidR="0085725E" w:rsidRPr="00600871" w:rsidRDefault="0085725E" w:rsidP="00547FF4">
            <w:pPr>
              <w:pStyle w:val="TableSideHeading"/>
              <w:keepLines w:val="0"/>
              <w:rPr>
                <w:rtl/>
              </w:rPr>
            </w:pPr>
          </w:p>
        </w:tc>
        <w:tc>
          <w:tcPr>
            <w:tcW w:w="624" w:type="dxa"/>
            <w:tcBorders>
              <w:top w:val="nil"/>
              <w:left w:val="nil"/>
              <w:bottom w:val="nil"/>
              <w:right w:val="nil"/>
            </w:tcBorders>
          </w:tcPr>
          <w:p w14:paraId="37F37BCB" w14:textId="77777777" w:rsidR="0085725E" w:rsidRDefault="0085725E" w:rsidP="00F37F65">
            <w:pPr>
              <w:pStyle w:val="TableText"/>
              <w:rPr>
                <w:rtl/>
              </w:rPr>
            </w:pPr>
          </w:p>
        </w:tc>
        <w:tc>
          <w:tcPr>
            <w:tcW w:w="7146" w:type="dxa"/>
            <w:gridSpan w:val="3"/>
            <w:tcBorders>
              <w:top w:val="nil"/>
              <w:left w:val="nil"/>
              <w:bottom w:val="nil"/>
              <w:right w:val="nil"/>
            </w:tcBorders>
          </w:tcPr>
          <w:p w14:paraId="12E0FE7B" w14:textId="7862F520" w:rsidR="0085725E" w:rsidRDefault="0085725E" w:rsidP="00383C00">
            <w:pPr>
              <w:pStyle w:val="TableBlock"/>
              <w:rPr>
                <w:rtl/>
              </w:rPr>
            </w:pPr>
            <w:r>
              <w:rPr>
                <w:rFonts w:hint="cs"/>
                <w:rtl/>
              </w:rPr>
              <w:t>(א2)</w:t>
            </w:r>
            <w:r>
              <w:rPr>
                <w:rtl/>
              </w:rPr>
              <w:tab/>
            </w:r>
            <w:r w:rsidR="008F3474">
              <w:rPr>
                <w:rFonts w:hint="cs"/>
                <w:rtl/>
              </w:rPr>
              <w:t>במשפט אזרחי בקשר עם הליך כאמור</w:t>
            </w:r>
            <w:r>
              <w:rPr>
                <w:rFonts w:hint="cs"/>
                <w:rtl/>
              </w:rPr>
              <w:t xml:space="preserve"> </w:t>
            </w:r>
            <w:r w:rsidR="008F3474">
              <w:rPr>
                <w:rFonts w:hint="cs"/>
                <w:rtl/>
              </w:rPr>
              <w:t>ב</w:t>
            </w:r>
            <w:r>
              <w:rPr>
                <w:rFonts w:hint="cs"/>
                <w:rtl/>
              </w:rPr>
              <w:t>סעיף קטן (א1) שבעלי הדין בו הם נפגע העבירה כאמור באותו סעיף קטן והחשוד או מי שהיה חשוד באותה העבירה, יחול החיסיון כאמור בסעיף קטן (א1).</w:t>
            </w:r>
          </w:p>
        </w:tc>
      </w:tr>
      <w:tr w:rsidR="006D0230" w14:paraId="6076FF11" w14:textId="77777777" w:rsidTr="00547FF4">
        <w:trPr>
          <w:cantSplit/>
          <w:trHeight w:val="60"/>
        </w:trPr>
        <w:tc>
          <w:tcPr>
            <w:tcW w:w="1871" w:type="dxa"/>
            <w:tcBorders>
              <w:top w:val="nil"/>
              <w:left w:val="nil"/>
              <w:bottom w:val="nil"/>
              <w:right w:val="nil"/>
            </w:tcBorders>
          </w:tcPr>
          <w:p w14:paraId="312EE97B" w14:textId="77777777" w:rsidR="006D0230" w:rsidRPr="00600871" w:rsidRDefault="006D0230" w:rsidP="00547FF4">
            <w:pPr>
              <w:pStyle w:val="TableSideHeading"/>
              <w:keepLines w:val="0"/>
              <w:rPr>
                <w:rtl/>
              </w:rPr>
            </w:pPr>
          </w:p>
        </w:tc>
        <w:tc>
          <w:tcPr>
            <w:tcW w:w="624" w:type="dxa"/>
            <w:tcBorders>
              <w:top w:val="nil"/>
              <w:left w:val="nil"/>
              <w:bottom w:val="nil"/>
              <w:right w:val="nil"/>
            </w:tcBorders>
          </w:tcPr>
          <w:p w14:paraId="6FBFD22C" w14:textId="77777777" w:rsidR="006D0230" w:rsidRDefault="006D0230" w:rsidP="0085725E">
            <w:pPr>
              <w:pStyle w:val="TableText"/>
              <w:rPr>
                <w:rtl/>
              </w:rPr>
            </w:pPr>
          </w:p>
        </w:tc>
        <w:tc>
          <w:tcPr>
            <w:tcW w:w="7146" w:type="dxa"/>
            <w:gridSpan w:val="3"/>
            <w:tcBorders>
              <w:top w:val="nil"/>
              <w:left w:val="nil"/>
              <w:bottom w:val="nil"/>
              <w:right w:val="nil"/>
            </w:tcBorders>
          </w:tcPr>
          <w:p w14:paraId="2CEECE8F" w14:textId="4ED9A8D6" w:rsidR="006D0230" w:rsidRPr="006D0230" w:rsidRDefault="006D0230" w:rsidP="00C80DB2">
            <w:pPr>
              <w:pStyle w:val="TableBlock"/>
              <w:rPr>
                <w:rtl/>
              </w:rPr>
            </w:pPr>
            <w:r w:rsidRPr="006D0230">
              <w:rPr>
                <w:rtl/>
              </w:rPr>
              <w:t>(א</w:t>
            </w:r>
            <w:r w:rsidR="00D151BC">
              <w:rPr>
                <w:rFonts w:hint="cs"/>
                <w:rtl/>
              </w:rPr>
              <w:t>3</w:t>
            </w:r>
            <w:r w:rsidRPr="006D0230">
              <w:rPr>
                <w:rtl/>
              </w:rPr>
              <w:t xml:space="preserve">)    </w:t>
            </w:r>
            <w:r w:rsidR="0085725E">
              <w:rPr>
                <w:rFonts w:hint="cs"/>
                <w:rtl/>
              </w:rPr>
              <w:t>ויתור נפגע העבירה על</w:t>
            </w:r>
            <w:r w:rsidR="00F37F65">
              <w:rPr>
                <w:rFonts w:hint="cs"/>
                <w:rtl/>
              </w:rPr>
              <w:t xml:space="preserve"> החיסיון כאמור בסעיף קטן (א</w:t>
            </w:r>
            <w:r w:rsidR="00D151BC">
              <w:rPr>
                <w:rFonts w:hint="cs"/>
                <w:rtl/>
              </w:rPr>
              <w:t>1</w:t>
            </w:r>
            <w:r w:rsidR="00F37F65">
              <w:rPr>
                <w:rFonts w:hint="cs"/>
                <w:rtl/>
              </w:rPr>
              <w:t>),</w:t>
            </w:r>
            <w:r w:rsidR="0085725E">
              <w:rPr>
                <w:rFonts w:hint="cs"/>
                <w:rtl/>
              </w:rPr>
              <w:t xml:space="preserve"> </w:t>
            </w:r>
            <w:r w:rsidR="00F37F65">
              <w:rPr>
                <w:rFonts w:hint="cs"/>
                <w:rtl/>
              </w:rPr>
              <w:t>ייעשה בטופס סודיות מיוחד ונפרד מטופס כללי לוויתור על סודיות מטופל, ו</w:t>
            </w:r>
            <w:r w:rsidR="0085725E">
              <w:rPr>
                <w:rFonts w:hint="cs"/>
                <w:rtl/>
              </w:rPr>
              <w:t xml:space="preserve">לאחר שבית המשפט יסביר לו את משמעות הוויתור על החיסיון ויידע אותו על זכותו </w:t>
            </w:r>
            <w:r w:rsidR="0085725E" w:rsidRPr="008602B7">
              <w:rPr>
                <w:rFonts w:hint="cs"/>
                <w:rtl/>
              </w:rPr>
              <w:t xml:space="preserve">לייעוץ משפטי </w:t>
            </w:r>
            <w:r w:rsidR="0085725E">
              <w:rPr>
                <w:rFonts w:hint="cs"/>
                <w:rtl/>
              </w:rPr>
              <w:t>בעניין הוויתור</w:t>
            </w:r>
            <w:r w:rsidR="0085725E" w:rsidRPr="008602B7">
              <w:rPr>
                <w:rFonts w:hint="cs"/>
                <w:rtl/>
              </w:rPr>
              <w:t xml:space="preserve">, ללא </w:t>
            </w:r>
            <w:r w:rsidR="0085725E">
              <w:rPr>
                <w:rFonts w:hint="cs"/>
                <w:rtl/>
              </w:rPr>
              <w:t>צורך ב</w:t>
            </w:r>
            <w:r w:rsidR="0085725E" w:rsidRPr="008602B7">
              <w:rPr>
                <w:rFonts w:hint="cs"/>
                <w:rtl/>
              </w:rPr>
              <w:t>הוכחת זכאות כלכלית, מכוח חוק הסיוע המשפטי התשל"ב</w:t>
            </w:r>
            <w:r w:rsidR="0085725E">
              <w:rPr>
                <w:rFonts w:hint="eastAsia"/>
                <w:rtl/>
              </w:rPr>
              <w:t>–</w:t>
            </w:r>
            <w:r w:rsidR="0085725E" w:rsidRPr="008602B7">
              <w:rPr>
                <w:rFonts w:hint="cs"/>
                <w:rtl/>
              </w:rPr>
              <w:t>1972</w:t>
            </w:r>
            <w:r w:rsidR="00BA6324">
              <w:rPr>
                <w:rFonts w:hint="cs"/>
                <w:rtl/>
              </w:rPr>
              <w:t>.</w:t>
            </w:r>
            <w:r w:rsidR="0085725E">
              <w:rPr>
                <w:rFonts w:hint="cs"/>
                <w:rtl/>
              </w:rPr>
              <w:t>"</w:t>
            </w:r>
          </w:p>
        </w:tc>
      </w:tr>
      <w:tr w:rsidR="00600871" w14:paraId="05E18DDE" w14:textId="77777777" w:rsidTr="00547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3"/>
        </w:trPr>
        <w:tc>
          <w:tcPr>
            <w:tcW w:w="1871" w:type="dxa"/>
          </w:tcPr>
          <w:p w14:paraId="37BFFDCF" w14:textId="2A611896" w:rsidR="00600871" w:rsidRDefault="008F6E14" w:rsidP="00547FF4">
            <w:pPr>
              <w:pStyle w:val="TableSideHeading"/>
            </w:pPr>
            <w:r>
              <w:rPr>
                <w:rFonts w:hint="cs"/>
                <w:rtl/>
              </w:rPr>
              <w:t>תיקון לחוק סדרי הדין (חקירת עדים)</w:t>
            </w:r>
          </w:p>
        </w:tc>
        <w:tc>
          <w:tcPr>
            <w:tcW w:w="624" w:type="dxa"/>
          </w:tcPr>
          <w:p w14:paraId="5B78C484" w14:textId="311294E4" w:rsidR="00600871" w:rsidRDefault="00E735CD" w:rsidP="00547FF4">
            <w:pPr>
              <w:pStyle w:val="TableText"/>
              <w:ind w:right="0"/>
              <w:jc w:val="both"/>
            </w:pPr>
            <w:r>
              <w:rPr>
                <w:rFonts w:hint="cs"/>
                <w:rtl/>
              </w:rPr>
              <w:t>2.</w:t>
            </w:r>
          </w:p>
        </w:tc>
        <w:tc>
          <w:tcPr>
            <w:tcW w:w="7146" w:type="dxa"/>
            <w:gridSpan w:val="3"/>
          </w:tcPr>
          <w:p w14:paraId="4317DF62" w14:textId="30E6ACCC" w:rsidR="00600871" w:rsidRPr="00C34DE2" w:rsidRDefault="00600871" w:rsidP="00547FF4">
            <w:pPr>
              <w:pStyle w:val="TableBlock"/>
              <w:tabs>
                <w:tab w:val="clear" w:pos="1247"/>
              </w:tabs>
            </w:pPr>
            <w:r w:rsidRPr="00600871">
              <w:rPr>
                <w:rtl/>
              </w:rPr>
              <w:t>בחוק לתיקון סדרי הדין (חקירת עדים), התשי"ח–1957</w:t>
            </w:r>
            <w:r w:rsidR="00582AA4">
              <w:rPr>
                <w:rStyle w:val="a6"/>
                <w:rtl/>
              </w:rPr>
              <w:footnoteReference w:id="5"/>
            </w:r>
            <w:r w:rsidR="00DB1CDE">
              <w:rPr>
                <w:rFonts w:hint="cs"/>
                <w:rtl/>
              </w:rPr>
              <w:t>, אחרי סעיף 2א יבוא:</w:t>
            </w:r>
          </w:p>
        </w:tc>
      </w:tr>
      <w:tr w:rsidR="00582AA4" w14:paraId="2A34CB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14:paraId="58D875D3" w14:textId="77777777" w:rsidR="00582AA4" w:rsidRDefault="00582AA4">
            <w:pPr>
              <w:pStyle w:val="TableSideHeading"/>
              <w:keepLines w:val="0"/>
            </w:pPr>
          </w:p>
        </w:tc>
        <w:tc>
          <w:tcPr>
            <w:tcW w:w="624" w:type="dxa"/>
          </w:tcPr>
          <w:p w14:paraId="032CF287" w14:textId="77777777" w:rsidR="00582AA4" w:rsidRDefault="00582AA4">
            <w:pPr>
              <w:pStyle w:val="TableText"/>
              <w:keepLines w:val="0"/>
            </w:pPr>
          </w:p>
        </w:tc>
        <w:tc>
          <w:tcPr>
            <w:tcW w:w="1872" w:type="dxa"/>
          </w:tcPr>
          <w:p w14:paraId="6E60D478" w14:textId="4DAA75A3" w:rsidR="00582AA4" w:rsidRDefault="00582AA4">
            <w:pPr>
              <w:pStyle w:val="TableInnerSideHeading"/>
            </w:pPr>
            <w:r>
              <w:rPr>
                <w:rFonts w:hint="cs"/>
                <w:rtl/>
              </w:rPr>
              <w:t>"חקירה בדבר טיפול פסיכולוגי או סוציאלי</w:t>
            </w:r>
          </w:p>
        </w:tc>
        <w:tc>
          <w:tcPr>
            <w:tcW w:w="624" w:type="dxa"/>
          </w:tcPr>
          <w:p w14:paraId="13C3FEFA" w14:textId="1F6FD28C" w:rsidR="00582AA4" w:rsidRPr="00582AA4" w:rsidRDefault="00582AA4">
            <w:pPr>
              <w:pStyle w:val="TableText"/>
            </w:pPr>
            <w:r>
              <w:rPr>
                <w:rFonts w:hint="cs"/>
                <w:rtl/>
              </w:rPr>
              <w:t>2א1.</w:t>
            </w:r>
          </w:p>
        </w:tc>
        <w:tc>
          <w:tcPr>
            <w:tcW w:w="4650" w:type="dxa"/>
          </w:tcPr>
          <w:p w14:paraId="61197F48" w14:textId="6053B9F1" w:rsidR="00582AA4" w:rsidRDefault="00582AA4" w:rsidP="00C56031">
            <w:pPr>
              <w:pStyle w:val="TableBlock"/>
            </w:pPr>
            <w:r w:rsidRPr="008F6E14">
              <w:rPr>
                <w:rtl/>
              </w:rPr>
              <w:t xml:space="preserve">בית המשפט לא ירשה חקירה בדבר טיפול </w:t>
            </w:r>
            <w:r>
              <w:rPr>
                <w:rFonts w:hint="cs"/>
                <w:rtl/>
              </w:rPr>
              <w:t xml:space="preserve">אצל </w:t>
            </w:r>
            <w:r>
              <w:rPr>
                <w:rtl/>
              </w:rPr>
              <w:t>פסיכולוג</w:t>
            </w:r>
            <w:r w:rsidRPr="008F6E14">
              <w:rPr>
                <w:rtl/>
              </w:rPr>
              <w:t xml:space="preserve"> או</w:t>
            </w:r>
            <w:r>
              <w:rPr>
                <w:rFonts w:hint="cs"/>
                <w:rtl/>
              </w:rPr>
              <w:t xml:space="preserve"> </w:t>
            </w:r>
            <w:r w:rsidR="00F37F65">
              <w:rPr>
                <w:rFonts w:hint="cs"/>
                <w:rtl/>
              </w:rPr>
              <w:t xml:space="preserve">אצל </w:t>
            </w:r>
            <w:r>
              <w:rPr>
                <w:rFonts w:hint="cs"/>
                <w:rtl/>
              </w:rPr>
              <w:t>עובד</w:t>
            </w:r>
            <w:r w:rsidRPr="008F6E14">
              <w:rPr>
                <w:rtl/>
              </w:rPr>
              <w:t xml:space="preserve"> סוציאלי </w:t>
            </w:r>
            <w:r w:rsidR="00F37F65">
              <w:rPr>
                <w:rFonts w:hint="cs"/>
                <w:rtl/>
              </w:rPr>
              <w:t>במקרים המנויים בסעיפים 50(א1) ו-(א2) ו-50א(א1) ו-(א2) לפקודת הראיות, אלא אם ויתר נפגע העבירה על החיסיון</w:t>
            </w:r>
            <w:r w:rsidRPr="008F6E14">
              <w:rPr>
                <w:rtl/>
              </w:rPr>
              <w:t>."</w:t>
            </w:r>
          </w:p>
        </w:tc>
      </w:tr>
      <w:tr w:rsidR="008F6E14" w14:paraId="6C665BA8" w14:textId="77777777" w:rsidTr="00547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14:paraId="106D312F" w14:textId="22BE8420" w:rsidR="008F6E14" w:rsidRDefault="008F6E14" w:rsidP="00547FF4">
            <w:pPr>
              <w:pStyle w:val="TableSideHeading"/>
            </w:pPr>
            <w:r w:rsidRPr="008F6E14">
              <w:rPr>
                <w:rtl/>
              </w:rPr>
              <w:t>תיקון חוק הסיוע המשפטי</w:t>
            </w:r>
          </w:p>
        </w:tc>
        <w:tc>
          <w:tcPr>
            <w:tcW w:w="624" w:type="dxa"/>
          </w:tcPr>
          <w:p w14:paraId="48048A20" w14:textId="599114BB" w:rsidR="008F6E14" w:rsidRDefault="00E735CD" w:rsidP="00547FF4">
            <w:pPr>
              <w:pStyle w:val="TableText"/>
              <w:ind w:right="0"/>
              <w:jc w:val="both"/>
            </w:pPr>
            <w:r>
              <w:rPr>
                <w:rFonts w:hint="cs"/>
                <w:rtl/>
              </w:rPr>
              <w:t>3.</w:t>
            </w:r>
          </w:p>
        </w:tc>
        <w:tc>
          <w:tcPr>
            <w:tcW w:w="7146" w:type="dxa"/>
            <w:gridSpan w:val="3"/>
          </w:tcPr>
          <w:p w14:paraId="7133D459" w14:textId="2DD52DAA" w:rsidR="008F6E14" w:rsidRPr="00C34DE2" w:rsidRDefault="008F6E14" w:rsidP="006D0230">
            <w:pPr>
              <w:pStyle w:val="TableBlock"/>
            </w:pPr>
            <w:r w:rsidRPr="008F6E14">
              <w:rPr>
                <w:rtl/>
              </w:rPr>
              <w:t xml:space="preserve">בחוק הסיוע המשפטי, התשל"ב–1972 , בתוספת, אחרי פרט </w:t>
            </w:r>
            <w:r w:rsidR="00495C07">
              <w:rPr>
                <w:rFonts w:hint="cs"/>
                <w:rtl/>
              </w:rPr>
              <w:t>12</w:t>
            </w:r>
            <w:r w:rsidR="00495C07" w:rsidRPr="008F6E14">
              <w:rPr>
                <w:rtl/>
              </w:rPr>
              <w:t xml:space="preserve"> </w:t>
            </w:r>
            <w:r w:rsidRPr="008F6E14">
              <w:rPr>
                <w:rtl/>
              </w:rPr>
              <w:t>יבוא:</w:t>
            </w:r>
          </w:p>
        </w:tc>
      </w:tr>
      <w:tr w:rsidR="00582AA4" w14:paraId="357B35BB" w14:textId="77777777" w:rsidTr="00547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14:paraId="2117ACBA" w14:textId="77777777" w:rsidR="00582AA4" w:rsidRPr="008F6E14" w:rsidRDefault="00582AA4" w:rsidP="00547FF4">
            <w:pPr>
              <w:pStyle w:val="TableSideHeading"/>
              <w:rPr>
                <w:rtl/>
              </w:rPr>
            </w:pPr>
          </w:p>
        </w:tc>
        <w:tc>
          <w:tcPr>
            <w:tcW w:w="624" w:type="dxa"/>
          </w:tcPr>
          <w:p w14:paraId="244A260D" w14:textId="77777777" w:rsidR="00582AA4" w:rsidRDefault="00582AA4" w:rsidP="001415DE">
            <w:pPr>
              <w:pStyle w:val="TableText"/>
              <w:rPr>
                <w:rtl/>
              </w:rPr>
            </w:pPr>
          </w:p>
        </w:tc>
        <w:tc>
          <w:tcPr>
            <w:tcW w:w="7146" w:type="dxa"/>
            <w:gridSpan w:val="3"/>
          </w:tcPr>
          <w:p w14:paraId="4BA28954" w14:textId="26307085" w:rsidR="00582AA4" w:rsidRPr="008F6E14" w:rsidRDefault="00582AA4" w:rsidP="00F37F65">
            <w:pPr>
              <w:pStyle w:val="TableBlock"/>
              <w:rPr>
                <w:rtl/>
              </w:rPr>
            </w:pPr>
            <w:r w:rsidRPr="001A0B37">
              <w:rPr>
                <w:rtl/>
              </w:rPr>
              <w:t>"(</w:t>
            </w:r>
            <w:r>
              <w:rPr>
                <w:rFonts w:hint="cs"/>
                <w:rtl/>
              </w:rPr>
              <w:t>13</w:t>
            </w:r>
            <w:r w:rsidRPr="001A0B37">
              <w:rPr>
                <w:rtl/>
              </w:rPr>
              <w:t>)</w:t>
            </w:r>
            <w:r w:rsidRPr="001A0B37">
              <w:rPr>
                <w:rtl/>
              </w:rPr>
              <w:tab/>
              <w:t>לנפגע עבירת מין לפי פרק י' לחוק העונשין, בהליך הסרת חיסיון לפי סעיפים 50(א</w:t>
            </w:r>
            <w:r>
              <w:rPr>
                <w:rFonts w:hint="cs"/>
                <w:rtl/>
              </w:rPr>
              <w:t>3</w:t>
            </w:r>
            <w:r>
              <w:rPr>
                <w:rtl/>
              </w:rPr>
              <w:t>) ו</w:t>
            </w:r>
            <w:r>
              <w:rPr>
                <w:rFonts w:hint="cs"/>
                <w:rtl/>
              </w:rPr>
              <w:t>-</w:t>
            </w:r>
            <w:r w:rsidRPr="001A0B37">
              <w:rPr>
                <w:rtl/>
              </w:rPr>
              <w:t>50א(א</w:t>
            </w:r>
            <w:r>
              <w:rPr>
                <w:rFonts w:hint="cs"/>
                <w:rtl/>
              </w:rPr>
              <w:t>3</w:t>
            </w:r>
            <w:r w:rsidRPr="001A0B37">
              <w:rPr>
                <w:rtl/>
              </w:rPr>
              <w:t>) לפקודת הראיות, בכל הנוגע לליווי ולקבלת ייעוץ וסיוע במימוש זכויותיו לפי כל דין בהליך הפלילי או האזרחי</w:t>
            </w:r>
            <w:r w:rsidR="001A55E9">
              <w:rPr>
                <w:rFonts w:hint="cs"/>
                <w:rtl/>
              </w:rPr>
              <w:t>, וסעיפים 3 ו-4 לא יחולו</w:t>
            </w:r>
            <w:r w:rsidRPr="001A0B37">
              <w:rPr>
                <w:rtl/>
              </w:rPr>
              <w:t>."</w:t>
            </w:r>
          </w:p>
        </w:tc>
      </w:tr>
    </w:tbl>
    <w:p w14:paraId="7F6961CA" w14:textId="77777777" w:rsidR="002D1EE3" w:rsidRDefault="002D1EE3" w:rsidP="00547FF4">
      <w:pPr>
        <w:pStyle w:val="HeadDivreiHesber"/>
        <w:rPr>
          <w:rtl/>
        </w:rPr>
      </w:pPr>
      <w:r w:rsidRPr="0027450A">
        <w:rPr>
          <w:rFonts w:hint="cs"/>
          <w:rtl/>
        </w:rPr>
        <w:t>דברי הסבר</w:t>
      </w:r>
    </w:p>
    <w:p w14:paraId="26EDCC29" w14:textId="73EA621E" w:rsidR="00A20E90" w:rsidRPr="001415DE" w:rsidRDefault="00A20E90" w:rsidP="001415DE">
      <w:pPr>
        <w:pStyle w:val="Hesber"/>
        <w:rPr>
          <w:rtl/>
        </w:rPr>
      </w:pPr>
      <w:bookmarkStart w:id="6" w:name="_Hlk519510062"/>
      <w:r w:rsidRPr="001415DE">
        <w:rPr>
          <w:rtl/>
        </w:rPr>
        <w:t xml:space="preserve">מטרתה של הצעת חוק זו להעניק חיסיון מוחלט על טיפול פסיכולוגי </w:t>
      </w:r>
      <w:r w:rsidR="00C80DB2">
        <w:rPr>
          <w:rFonts w:hint="cs"/>
          <w:rtl/>
        </w:rPr>
        <w:t xml:space="preserve">או סוציאלי </w:t>
      </w:r>
      <w:r w:rsidRPr="001415DE">
        <w:rPr>
          <w:rtl/>
        </w:rPr>
        <w:t xml:space="preserve">שעובר נפגע עבירת מין בהליך המשפטי. זו היא הצעת חוק הומניטרית ונועדה להגן על נפגעות ונפגעים ברגעים הקשים בחייהם. היא </w:t>
      </w:r>
      <w:r w:rsidR="00C80DB2">
        <w:rPr>
          <w:rFonts w:hint="cs"/>
          <w:rtl/>
        </w:rPr>
        <w:t>מבקשת</w:t>
      </w:r>
      <w:r w:rsidRPr="001415DE">
        <w:rPr>
          <w:rtl/>
        </w:rPr>
        <w:t xml:space="preserve"> לתקן פגם צורם וקשה בהליך הפלילי, ועצם העובדה שהדבר לא נעשה עד היום היא בלתי מובנת</w:t>
      </w:r>
      <w:r w:rsidR="009865B8" w:rsidRPr="001415DE">
        <w:rPr>
          <w:rtl/>
        </w:rPr>
        <w:t>.</w:t>
      </w:r>
    </w:p>
    <w:p w14:paraId="0BBE16B1" w14:textId="77777777" w:rsidR="00A20E90" w:rsidRPr="001415DE" w:rsidRDefault="00A20E90" w:rsidP="001415DE">
      <w:pPr>
        <w:pStyle w:val="Hesber"/>
        <w:rPr>
          <w:rtl/>
        </w:rPr>
      </w:pPr>
      <w:r w:rsidRPr="001415DE">
        <w:rPr>
          <w:rtl/>
        </w:rPr>
        <w:lastRenderedPageBreak/>
        <w:t>עבירות מין הן מסוג העבירות שבבסיסן יסוד עמוק של שלילת כבודו וחירותו של אדם. שלא כעבירות אחרות, הן מרסקות את נפשו של הנפגע, והפגיעה הקשה שהן גורמות מחייבת, לא אחת, תהליך ארוך של שיקום נפשי לצורך השבת תחושת השליטה בחייו.</w:t>
      </w:r>
    </w:p>
    <w:bookmarkEnd w:id="6"/>
    <w:p w14:paraId="167936F5" w14:textId="162B46A0" w:rsidR="00A20E90" w:rsidRPr="001415DE" w:rsidRDefault="00A20E90" w:rsidP="001415DE">
      <w:pPr>
        <w:pStyle w:val="Hesber"/>
        <w:rPr>
          <w:rtl/>
        </w:rPr>
      </w:pPr>
      <w:r w:rsidRPr="001415DE">
        <w:rPr>
          <w:rtl/>
        </w:rPr>
        <w:t xml:space="preserve">בשנים האחרונות ישנה מגמת עלייה במספר ההליכים משפטיים בהם נדרשו נפגעות עבירה למסור פרטים אודות הטיפול הפסיכולוגי </w:t>
      </w:r>
      <w:r w:rsidR="00C80DB2">
        <w:rPr>
          <w:rFonts w:hint="cs"/>
          <w:rtl/>
        </w:rPr>
        <w:t xml:space="preserve">או הסוציאלי </w:t>
      </w:r>
      <w:r w:rsidRPr="001415DE">
        <w:rPr>
          <w:rtl/>
        </w:rPr>
        <w:t>שעברו, ונראה כי הקו המבחין בין דרישה לגיטימית להגנת הנאשם לבין בקשה קנטרנית שמטרתה להלך אימים על הנפגעת ולפגוע בפרטיותה שלא לצורך הולך ונשחק. לעיתים מדובר בבקשות לחומרים ש</w:t>
      </w:r>
      <w:r w:rsidR="00C80DB2">
        <w:rPr>
          <w:rFonts w:hint="cs"/>
          <w:rtl/>
        </w:rPr>
        <w:t>אינם</w:t>
      </w:r>
      <w:r w:rsidRPr="001415DE">
        <w:rPr>
          <w:rtl/>
        </w:rPr>
        <w:t xml:space="preserve"> רלוונטיים או שאין בכוחם לסייע להגנת הנאשמים, וכי</w:t>
      </w:r>
      <w:r w:rsidR="009865B8" w:rsidRPr="001415DE">
        <w:rPr>
          <w:rtl/>
        </w:rPr>
        <w:t xml:space="preserve"> הנאשמים מבקשים באמצעות "מסע דיג"</w:t>
      </w:r>
      <w:r w:rsidRPr="001415DE">
        <w:t xml:space="preserve"> </w:t>
      </w:r>
      <w:r w:rsidRPr="001415DE">
        <w:rPr>
          <w:rtl/>
        </w:rPr>
        <w:t xml:space="preserve">להרתיע מתלוננים </w:t>
      </w:r>
      <w:r w:rsidR="00C80DB2">
        <w:rPr>
          <w:rFonts w:hint="cs"/>
          <w:rtl/>
        </w:rPr>
        <w:t>מ</w:t>
      </w:r>
      <w:r w:rsidRPr="001415DE">
        <w:rPr>
          <w:rtl/>
        </w:rPr>
        <w:t>להמשיך בהליך.</w:t>
      </w:r>
    </w:p>
    <w:p w14:paraId="433E0063" w14:textId="4D357C5F" w:rsidR="00A20E90" w:rsidRPr="001415DE" w:rsidRDefault="00A20E90" w:rsidP="001415DE">
      <w:pPr>
        <w:pStyle w:val="Hesber"/>
        <w:rPr>
          <w:rtl/>
        </w:rPr>
      </w:pPr>
      <w:r w:rsidRPr="001415DE">
        <w:rPr>
          <w:rtl/>
        </w:rPr>
        <w:t>אינטרס חברתי ראשון במעלה הוא מתן תמיכה להליך השיקום הנפשי של נפגעות ונפגעי אלימות מינית</w:t>
      </w:r>
      <w:r w:rsidR="00C80DB2">
        <w:rPr>
          <w:rFonts w:hint="cs"/>
          <w:rtl/>
        </w:rPr>
        <w:t xml:space="preserve">. </w:t>
      </w:r>
      <w:r w:rsidRPr="001415DE">
        <w:rPr>
          <w:rtl/>
        </w:rPr>
        <w:t xml:space="preserve">תקשורת חופשית בין מטפל </w:t>
      </w:r>
      <w:r w:rsidR="00C80DB2">
        <w:rPr>
          <w:rFonts w:hint="cs"/>
          <w:rtl/>
        </w:rPr>
        <w:t>ל</w:t>
      </w:r>
      <w:r w:rsidRPr="001415DE">
        <w:rPr>
          <w:rtl/>
        </w:rPr>
        <w:t xml:space="preserve">מטופל היא אחת מאבני היסוד וחוליה מרכזית בהליך ריפוי זה. דרישת </w:t>
      </w:r>
      <w:r w:rsidR="00C80DB2">
        <w:rPr>
          <w:rFonts w:hint="cs"/>
          <w:rtl/>
        </w:rPr>
        <w:t xml:space="preserve">קבלת </w:t>
      </w:r>
      <w:r w:rsidRPr="001415DE">
        <w:rPr>
          <w:rtl/>
        </w:rPr>
        <w:t>חומרי</w:t>
      </w:r>
      <w:r w:rsidR="00C80DB2">
        <w:rPr>
          <w:rFonts w:hint="cs"/>
          <w:rtl/>
        </w:rPr>
        <w:t>ם הנוגעים להליך הטיפול</w:t>
      </w:r>
      <w:r w:rsidRPr="001415DE">
        <w:rPr>
          <w:rtl/>
        </w:rPr>
        <w:t xml:space="preserve"> עלולה לפגוע ביכולתם של מתלוננים להיעזר </w:t>
      </w:r>
      <w:r w:rsidR="00C80DB2">
        <w:rPr>
          <w:rFonts w:hint="cs"/>
          <w:rtl/>
        </w:rPr>
        <w:t xml:space="preserve">באנשי הטיפול השונים </w:t>
      </w:r>
      <w:r w:rsidRPr="001415DE">
        <w:rPr>
          <w:rtl/>
        </w:rPr>
        <w:t>ב</w:t>
      </w:r>
      <w:r w:rsidR="00C80DB2">
        <w:rPr>
          <w:rFonts w:hint="cs"/>
          <w:rtl/>
        </w:rPr>
        <w:t>אופן יעיל</w:t>
      </w:r>
      <w:r w:rsidRPr="001415DE">
        <w:rPr>
          <w:rtl/>
        </w:rPr>
        <w:t xml:space="preserve"> ובלא חשש, </w:t>
      </w:r>
      <w:r w:rsidR="00C80DB2">
        <w:rPr>
          <w:rFonts w:hint="cs"/>
          <w:rtl/>
        </w:rPr>
        <w:t xml:space="preserve">וכן </w:t>
      </w:r>
      <w:r w:rsidRPr="001415DE">
        <w:rPr>
          <w:rtl/>
        </w:rPr>
        <w:t>לפגוע ביחסי האמון בין המטפל למטופל</w:t>
      </w:r>
      <w:r w:rsidR="00C80DB2">
        <w:rPr>
          <w:rFonts w:hint="cs"/>
          <w:rtl/>
        </w:rPr>
        <w:t>, מה שעלול לפגוע</w:t>
      </w:r>
      <w:r w:rsidRPr="001415DE">
        <w:rPr>
          <w:rtl/>
        </w:rPr>
        <w:t xml:space="preserve"> בשיקומם</w:t>
      </w:r>
      <w:r w:rsidR="00193146">
        <w:rPr>
          <w:rFonts w:hint="cs"/>
          <w:rtl/>
        </w:rPr>
        <w:t xml:space="preserve"> של הנפגעים</w:t>
      </w:r>
      <w:r w:rsidRPr="001415DE">
        <w:rPr>
          <w:rtl/>
        </w:rPr>
        <w:t xml:space="preserve">. </w:t>
      </w:r>
    </w:p>
    <w:p w14:paraId="3CA1B653" w14:textId="506C31B2" w:rsidR="00A20E90" w:rsidRPr="001415DE" w:rsidRDefault="00A20E90" w:rsidP="001415DE">
      <w:pPr>
        <w:pStyle w:val="Hesber"/>
        <w:rPr>
          <w:rtl/>
        </w:rPr>
      </w:pPr>
      <w:r w:rsidRPr="001415DE">
        <w:rPr>
          <w:rtl/>
        </w:rPr>
        <w:t>חיובו של נפגע אשר חווה פגיעה קשה ואובדן תחושת שליטה בעצם הפלישה לגופו ולנפשו, למסור חומרים אישיים החושפים את סודותיו ואת צפונות ליבו</w:t>
      </w:r>
      <w:r w:rsidR="009F3738">
        <w:rPr>
          <w:rFonts w:hint="cs"/>
          <w:rtl/>
        </w:rPr>
        <w:t>,</w:t>
      </w:r>
      <w:r w:rsidRPr="001415DE">
        <w:rPr>
          <w:rtl/>
        </w:rPr>
        <w:t xml:space="preserve"> ה</w:t>
      </w:r>
      <w:r w:rsidR="009F3738">
        <w:rPr>
          <w:rFonts w:hint="cs"/>
          <w:rtl/>
        </w:rPr>
        <w:t>וא</w:t>
      </w:r>
      <w:r w:rsidRPr="001415DE">
        <w:rPr>
          <w:rtl/>
        </w:rPr>
        <w:t xml:space="preserve"> בעל פוטנציאל לפגיעה נוספת</w:t>
      </w:r>
      <w:r w:rsidR="009F3738">
        <w:rPr>
          <w:rFonts w:hint="cs"/>
          <w:rtl/>
        </w:rPr>
        <w:t xml:space="preserve"> שעשויה להיות</w:t>
      </w:r>
      <w:r w:rsidRPr="001415DE">
        <w:rPr>
          <w:rtl/>
        </w:rPr>
        <w:t xml:space="preserve"> הרסנית עבורו. </w:t>
      </w:r>
    </w:p>
    <w:p w14:paraId="22DC5842" w14:textId="18D78DE2" w:rsidR="00A20E90" w:rsidRPr="001415DE" w:rsidRDefault="00A20E90" w:rsidP="001415DE">
      <w:pPr>
        <w:pStyle w:val="Hesber"/>
        <w:rPr>
          <w:rtl/>
        </w:rPr>
      </w:pPr>
      <w:r w:rsidRPr="001415DE">
        <w:rPr>
          <w:rtl/>
        </w:rPr>
        <w:t>בנוסף</w:t>
      </w:r>
      <w:r w:rsidR="009F3738">
        <w:rPr>
          <w:rFonts w:hint="cs"/>
          <w:rtl/>
        </w:rPr>
        <w:t>,</w:t>
      </w:r>
      <w:r w:rsidRPr="001415DE">
        <w:rPr>
          <w:rtl/>
        </w:rPr>
        <w:t xml:space="preserve"> קיים חשש כי החשיפה הצפויה תרתיע מתלוננים מפני פנייה לרשויות אכיפת החוק ומפני מתן עדות בבית המשפט. </w:t>
      </w:r>
    </w:p>
    <w:p w14:paraId="7A32A81A" w14:textId="699858DD" w:rsidR="00A20E90" w:rsidRPr="001415DE" w:rsidRDefault="00A20E90" w:rsidP="001415DE">
      <w:pPr>
        <w:pStyle w:val="Hesber"/>
        <w:rPr>
          <w:rtl/>
        </w:rPr>
      </w:pPr>
      <w:r w:rsidRPr="001415DE">
        <w:rPr>
          <w:rtl/>
        </w:rPr>
        <w:t>עמד על הדברים השופט עמית בבש"פ 8252/13 שעניינו הסרה של חיסיון מטפל-מתלוננת ופגיעה בפרטיות המתלוננת בעבירות מין:</w:t>
      </w:r>
    </w:p>
    <w:p w14:paraId="0467DC45" w14:textId="61BB699B" w:rsidR="00A20E90" w:rsidRPr="001415DE" w:rsidRDefault="00A20E90" w:rsidP="001415DE">
      <w:pPr>
        <w:pStyle w:val="Hesber"/>
        <w:rPr>
          <w:rtl/>
        </w:rPr>
      </w:pPr>
      <w:r w:rsidRPr="001415DE">
        <w:rPr>
          <w:rtl/>
        </w:rPr>
        <w:t xml:space="preserve">"המטופל פותח בפני המטפל את סגור ליבו, וחושף בפניו את תחושותיו </w:t>
      </w:r>
      <w:r w:rsidR="009F3738" w:rsidRPr="001415DE">
        <w:rPr>
          <w:rtl/>
        </w:rPr>
        <w:t>וחוויותיו</w:t>
      </w:r>
      <w:r w:rsidRPr="001415DE">
        <w:rPr>
          <w:rtl/>
        </w:rPr>
        <w:t xml:space="preserve"> האינטימיות ביותר. פתיחת גבולות החיסיון בכל מקרה שהמטפל חשף בפני המטפל דברים שחווה ביחס להשתלשלות האירועים, משמעה פגיעה ביכולתו או ברצונו של מטופל לדבר באופן חופשי עם מטפלו, שכן לעולם יקנן בו החשש כי סודותיו הכמוסים ביותר יהפכו לנחלתם של אחרים. עלול להיות בכך כדי לפגוע במערכת היחסים הרגישה בין המטפל למטופל, ואף באפקטיביות הטיפול כולו, ולהרתיע נפגעי עבירה מפני פניה לטיפול או מפני הגשת תלונה".</w:t>
      </w:r>
    </w:p>
    <w:p w14:paraId="22EE9B73" w14:textId="1F98397F" w:rsidR="00A20E90" w:rsidRPr="001415DE" w:rsidRDefault="00A20E90" w:rsidP="001415DE">
      <w:pPr>
        <w:pStyle w:val="Hesber"/>
        <w:rPr>
          <w:rtl/>
        </w:rPr>
      </w:pPr>
      <w:r w:rsidRPr="001415DE">
        <w:rPr>
          <w:rtl/>
        </w:rPr>
        <w:t xml:space="preserve">כיום, מבטיחה פקודת הראיות קיומה של תקשורת זו בין פסיכולוג ומטופלו על ידי הענקת 'חיסיון טיפול'. אלא שחיסיון זה הוא יחסי ומוסר חדשות לבקרים בקלות יחסית, כאשר בית המשפט מוצא כי </w:t>
      </w:r>
      <w:r w:rsidR="009F3738">
        <w:rPr>
          <w:rFonts w:hint="cs"/>
          <w:rtl/>
        </w:rPr>
        <w:t>"</w:t>
      </w:r>
      <w:r w:rsidRPr="001415DE">
        <w:rPr>
          <w:rtl/>
        </w:rPr>
        <w:t>הצורך לגלות את הראיה לשם עשיית צדק עדיף מן העניין ש</w:t>
      </w:r>
      <w:r w:rsidR="009F3738">
        <w:rPr>
          <w:rFonts w:hint="cs"/>
          <w:rtl/>
        </w:rPr>
        <w:t xml:space="preserve">יש </w:t>
      </w:r>
      <w:r w:rsidRPr="001415DE">
        <w:rPr>
          <w:rtl/>
        </w:rPr>
        <w:t>לא לגלותה</w:t>
      </w:r>
      <w:r w:rsidR="009F3738">
        <w:rPr>
          <w:rFonts w:hint="cs"/>
          <w:rtl/>
        </w:rPr>
        <w:t>" (</w:t>
      </w:r>
      <w:r w:rsidR="009F3738" w:rsidRPr="009F3738">
        <w:rPr>
          <w:rtl/>
        </w:rPr>
        <w:t>סעיף 50(א) לפקודת הראיות [נוסח חדש], תשל"א-1971</w:t>
      </w:r>
      <w:r w:rsidR="009F3738">
        <w:rPr>
          <w:rFonts w:hint="cs"/>
          <w:rtl/>
        </w:rPr>
        <w:t>)</w:t>
      </w:r>
      <w:r w:rsidRPr="001415DE">
        <w:rPr>
          <w:rtl/>
        </w:rPr>
        <w:t>.</w:t>
      </w:r>
    </w:p>
    <w:p w14:paraId="36CE4AB1" w14:textId="2DE27722" w:rsidR="00A20E90" w:rsidRPr="001415DE" w:rsidRDefault="00A20E90" w:rsidP="001415DE">
      <w:pPr>
        <w:pStyle w:val="Hesber"/>
        <w:rPr>
          <w:rtl/>
        </w:rPr>
      </w:pPr>
      <w:r w:rsidRPr="001415DE">
        <w:rPr>
          <w:rtl/>
        </w:rPr>
        <w:t>אין לכחד כי זכויות הנאשם לקבלת הגנה מיטבית במשפטו היא מאבני היסוד של שיטת המשטר הליברלית, ושעה שפרט מידע מצוי בחזקתו של מאן דהו עלול להוביל לזיכוי, מוטלת על האחרון החובה למוסרו לנאשם לשם הגנתו. למרות הנחות מוצא אלה, מוצע בזאת להחריג מתחולת הגנה זו, המוענקת לנאשם, את הזכות לחקור את המתלונן או המתלוננת בעניינו</w:t>
      </w:r>
      <w:r w:rsidR="002644E4">
        <w:rPr>
          <w:rFonts w:hint="cs"/>
          <w:rtl/>
        </w:rPr>
        <w:t>/ה</w:t>
      </w:r>
      <w:r w:rsidRPr="001415DE">
        <w:rPr>
          <w:rtl/>
        </w:rPr>
        <w:t xml:space="preserve"> על טיפול</w:t>
      </w:r>
      <w:r w:rsidR="002644E4">
        <w:rPr>
          <w:rFonts w:hint="cs"/>
          <w:rtl/>
        </w:rPr>
        <w:t>ו/</w:t>
      </w:r>
      <w:r w:rsidRPr="001415DE">
        <w:rPr>
          <w:rtl/>
        </w:rPr>
        <w:t>ה הפסיכולוגי</w:t>
      </w:r>
      <w:r w:rsidR="002644E4">
        <w:rPr>
          <w:rFonts w:hint="cs"/>
          <w:rtl/>
        </w:rPr>
        <w:t xml:space="preserve"> או הסוציאלי</w:t>
      </w:r>
      <w:r w:rsidRPr="001415DE">
        <w:rPr>
          <w:rtl/>
        </w:rPr>
        <w:t>.</w:t>
      </w:r>
    </w:p>
    <w:p w14:paraId="23143FD2" w14:textId="32A6D359" w:rsidR="00A20E90" w:rsidRPr="001415DE" w:rsidRDefault="00A20E90" w:rsidP="001415DE">
      <w:pPr>
        <w:pStyle w:val="Hesber"/>
        <w:rPr>
          <w:rtl/>
        </w:rPr>
      </w:pPr>
      <w:r w:rsidRPr="001415DE">
        <w:rPr>
          <w:rtl/>
        </w:rPr>
        <w:t xml:space="preserve">הצורך בהחרגה זו נובע ממאפייניה הייחודיים של עבירת המין והיחס החריג שהוא פעמים רבות מנת חלקן של נפגעות העבירה. </w:t>
      </w:r>
      <w:bookmarkStart w:id="7" w:name="_Hlk519510190"/>
      <w:r w:rsidRPr="001415DE">
        <w:rPr>
          <w:rtl/>
        </w:rPr>
        <w:t xml:space="preserve">נפגע העבירה היחיד אליו מייחסת מערכת המשפט 'אשם', הן נפגעות האלימות </w:t>
      </w:r>
      <w:r w:rsidRPr="001415DE">
        <w:rPr>
          <w:rtl/>
        </w:rPr>
        <w:lastRenderedPageBreak/>
        <w:t xml:space="preserve">המינית. כאשר מתלוננת עולה </w:t>
      </w:r>
      <w:r w:rsidR="002644E4">
        <w:rPr>
          <w:rFonts w:hint="cs"/>
          <w:rtl/>
        </w:rPr>
        <w:t>ע</w:t>
      </w:r>
      <w:r w:rsidR="002644E4" w:rsidRPr="001415DE">
        <w:rPr>
          <w:rtl/>
        </w:rPr>
        <w:t xml:space="preserve">ל </w:t>
      </w:r>
      <w:r w:rsidRPr="001415DE">
        <w:rPr>
          <w:rtl/>
        </w:rPr>
        <w:t>דוכן העדים, היא חווה לא אחת מתקפה ברוטלית על אישיותה ומוסריותה; היא נשאלת שאלות משפילות אודות הרגליה המיניים בעבר ובהווה, ומניעיה בהגשת התלונה מוטלים בספק.</w:t>
      </w:r>
      <w:bookmarkEnd w:id="7"/>
      <w:r w:rsidRPr="001415DE">
        <w:rPr>
          <w:rtl/>
        </w:rPr>
        <w:t xml:space="preserve"> כללו של דבר, האחריות על העבירה שנעברה כלפיה מוטלת לפתחה</w:t>
      </w:r>
      <w:r w:rsidR="002644E4">
        <w:rPr>
          <w:rFonts w:hint="cs"/>
          <w:rtl/>
        </w:rPr>
        <w:t>,</w:t>
      </w:r>
      <w:r w:rsidRPr="001415DE">
        <w:rPr>
          <w:rtl/>
        </w:rPr>
        <w:t xml:space="preserve"> כאילו היא במעשיה הביאה על עצמה את האלימות שחוותה. לא ז</w:t>
      </w:r>
      <w:r w:rsidR="008F3474">
        <w:rPr>
          <w:rFonts w:hint="cs"/>
          <w:rtl/>
        </w:rPr>
        <w:t>ו</w:t>
      </w:r>
      <w:r w:rsidRPr="001415DE">
        <w:rPr>
          <w:rtl/>
        </w:rPr>
        <w:t xml:space="preserve"> אף ז</w:t>
      </w:r>
      <w:r w:rsidR="008F3474">
        <w:rPr>
          <w:rFonts w:hint="cs"/>
          <w:rtl/>
        </w:rPr>
        <w:t>ו</w:t>
      </w:r>
      <w:r w:rsidRPr="001415DE">
        <w:rPr>
          <w:rtl/>
        </w:rPr>
        <w:t>, רישומי טיפולה הפסיכולוגי</w:t>
      </w:r>
      <w:r w:rsidR="002644E4">
        <w:rPr>
          <w:rFonts w:hint="cs"/>
          <w:rtl/>
        </w:rPr>
        <w:t xml:space="preserve"> והסוציאלי</w:t>
      </w:r>
      <w:r w:rsidRPr="001415DE">
        <w:rPr>
          <w:rtl/>
        </w:rPr>
        <w:t xml:space="preserve"> נחשפים כמעשה שבשגרה בפני תוקפה, סנגורו ובית המשפט, ומשמשים כלי נוסף לניגוחה. </w:t>
      </w:r>
    </w:p>
    <w:p w14:paraId="5AE114C2" w14:textId="4506D00E" w:rsidR="00A20E90" w:rsidRPr="001415DE" w:rsidRDefault="00A20E90" w:rsidP="001415DE">
      <w:pPr>
        <w:pStyle w:val="Hesber"/>
        <w:rPr>
          <w:rtl/>
        </w:rPr>
      </w:pPr>
      <w:r w:rsidRPr="001415DE">
        <w:rPr>
          <w:rtl/>
        </w:rPr>
        <w:t>לאור מצב זה, נשים מדירות עצמן מזירת בירור הדין, דבר הגורם לפגיעה אנושה במרקם החברתי בישראל. לא פחות חמור, הסרת החיסיון שולח מסר הרסני לנפגעות העבירה, פן יעזו לשקם את חייהן תוך הסתייעות בפסיכולוג</w:t>
      </w:r>
      <w:r w:rsidR="00776F45">
        <w:rPr>
          <w:rFonts w:hint="cs"/>
          <w:rtl/>
        </w:rPr>
        <w:t xml:space="preserve"> או עובד סוציאלי</w:t>
      </w:r>
      <w:r w:rsidRPr="001415DE">
        <w:rPr>
          <w:rtl/>
        </w:rPr>
        <w:t xml:space="preserve">, מחשש שתהליך שיקומן יהפוך לנחלת הכלל אם יחליטו למצות את הדין עם העבריין. </w:t>
      </w:r>
    </w:p>
    <w:p w14:paraId="07E63C88" w14:textId="375C0C33" w:rsidR="00A20E90" w:rsidRPr="001415DE" w:rsidRDefault="00A20E90" w:rsidP="001415DE">
      <w:pPr>
        <w:pStyle w:val="Hesber"/>
        <w:rPr>
          <w:rtl/>
        </w:rPr>
      </w:pPr>
      <w:r w:rsidRPr="001415DE">
        <w:rPr>
          <w:rtl/>
        </w:rPr>
        <w:t xml:space="preserve">אשר על כן, מטרתה של הצעת חוק זו לספק הגנה נוספת למתלוננות, מעבר לזו הקיימת כיום בפקודת הראיות, ולאסור על מסירת פרטי הטיפול הפסיכולוגי </w:t>
      </w:r>
      <w:r w:rsidR="002303C5">
        <w:rPr>
          <w:rFonts w:hint="cs"/>
          <w:rtl/>
        </w:rPr>
        <w:t xml:space="preserve">או הסוציאלי </w:t>
      </w:r>
      <w:r w:rsidRPr="001415DE">
        <w:rPr>
          <w:rtl/>
        </w:rPr>
        <w:t>של מתלוננות בעבירות מין לפרקליטות או לנאשם, ומניה וביה לאסור על חקירתן אודות הטיפול בבית המשפט, אלא אם החליטו מיוזמתן לוותר על החיסיון. עמדה זו משקפת את המעמד החוקתי שניתן לזכות לכבוד ולפרטיות המעוגן בחוק</w:t>
      </w:r>
      <w:r w:rsidR="002303C5">
        <w:rPr>
          <w:rFonts w:hint="cs"/>
          <w:rtl/>
        </w:rPr>
        <w:t>-</w:t>
      </w:r>
      <w:r w:rsidRPr="001415DE">
        <w:rPr>
          <w:rtl/>
        </w:rPr>
        <w:t>יסוד: כבוד האדם וחירותו.</w:t>
      </w:r>
    </w:p>
    <w:p w14:paraId="26ACF005" w14:textId="257A7CDF" w:rsidR="00A20E90" w:rsidRPr="001415DE" w:rsidRDefault="00A20E90" w:rsidP="001415DE">
      <w:pPr>
        <w:pStyle w:val="Hesber"/>
        <w:rPr>
          <w:rtl/>
        </w:rPr>
      </w:pPr>
      <w:r w:rsidRPr="001415DE">
        <w:rPr>
          <w:rtl/>
        </w:rPr>
        <w:t xml:space="preserve">יחד עם זאת, ייתכנו מקרים בהם לנפגעת יהיה רצון או עניין להביא לחשיפת פרטי הטיפול שעברה. על מנת לאפשר לה לעשות זאת מבלי שיופעל עליה לחץ על ידי גורמי החקירה בתיק, </w:t>
      </w:r>
      <w:r w:rsidR="00F03DFD">
        <w:rPr>
          <w:rFonts w:hint="cs"/>
          <w:rtl/>
        </w:rPr>
        <w:t>מוצע ב</w:t>
      </w:r>
      <w:r w:rsidRPr="001415DE">
        <w:rPr>
          <w:rtl/>
        </w:rPr>
        <w:t xml:space="preserve">הצעת החוק </w:t>
      </w:r>
      <w:r w:rsidR="00F03DFD">
        <w:rPr>
          <w:rFonts w:hint="cs"/>
          <w:rtl/>
        </w:rPr>
        <w:t xml:space="preserve">לקבוע </w:t>
      </w:r>
      <w:r w:rsidRPr="001415DE">
        <w:rPr>
          <w:rtl/>
        </w:rPr>
        <w:t xml:space="preserve">כי יוענק </w:t>
      </w:r>
      <w:r w:rsidR="009865B8" w:rsidRPr="001415DE">
        <w:rPr>
          <w:rtl/>
        </w:rPr>
        <w:t xml:space="preserve">תחילה </w:t>
      </w:r>
      <w:r w:rsidRPr="001415DE">
        <w:rPr>
          <w:rtl/>
        </w:rPr>
        <w:t xml:space="preserve">סיוע משפטי למתלוננות עבור </w:t>
      </w:r>
      <w:r w:rsidR="009865B8" w:rsidRPr="001415DE">
        <w:rPr>
          <w:rtl/>
        </w:rPr>
        <w:t xml:space="preserve">הליך הסרת החיסיון בלבד, על מנת </w:t>
      </w:r>
      <w:r w:rsidRPr="001415DE">
        <w:rPr>
          <w:rtl/>
        </w:rPr>
        <w:t xml:space="preserve">שכל ההיבטים המשפטיים הכרוכים בבחירה להסיר את החיסיון יובהרו לה לפני החתימה על כתב ויתור הסודיות. </w:t>
      </w:r>
    </w:p>
    <w:p w14:paraId="0BC5863D" w14:textId="69731C85" w:rsidR="00A20E90" w:rsidRPr="001415DE" w:rsidRDefault="008F3474" w:rsidP="001415DE">
      <w:pPr>
        <w:pStyle w:val="Hesber"/>
        <w:rPr>
          <w:rtl/>
        </w:rPr>
      </w:pPr>
      <w:r>
        <w:rPr>
          <w:rFonts w:hint="cs"/>
          <w:rtl/>
        </w:rPr>
        <w:t>מוצע כי ההסדר האמור יחול</w:t>
      </w:r>
      <w:r w:rsidR="00A20E90" w:rsidRPr="001415DE">
        <w:rPr>
          <w:rtl/>
        </w:rPr>
        <w:t xml:space="preserve"> הן בהליך הפלילי והן בהליך אזרחי שעניינו עבירות המנויות בפרק י' לחוק העונשין. </w:t>
      </w:r>
    </w:p>
    <w:p w14:paraId="33BB78F9" w14:textId="77777777" w:rsidR="00A20E90" w:rsidRDefault="00A20E90" w:rsidP="001415DE">
      <w:pPr>
        <w:pStyle w:val="Hesber"/>
        <w:rPr>
          <w:rtl/>
        </w:rPr>
      </w:pPr>
      <w:r w:rsidRPr="001415DE">
        <w:rPr>
          <w:rtl/>
        </w:rPr>
        <w:t>הצעת חוק זו נוסחה בשיתוף עם איגוד מרכזי הסיוע לנפגעי ונפגעות תקיפה מינית.</w:t>
      </w:r>
    </w:p>
    <w:p w14:paraId="1D4298D1" w14:textId="77777777" w:rsidR="00BC1A3B" w:rsidRDefault="00BC1A3B" w:rsidP="001415DE">
      <w:pPr>
        <w:pStyle w:val="Hesber"/>
        <w:rPr>
          <w:rtl/>
        </w:rPr>
      </w:pPr>
      <w:bookmarkStart w:id="8" w:name="_GoBack"/>
      <w:bookmarkEnd w:id="8"/>
    </w:p>
    <w:p w14:paraId="0FCC3969" w14:textId="77777777" w:rsidR="00BC1A3B" w:rsidRPr="00D73212" w:rsidRDefault="00BC1A3B" w:rsidP="00BC1A3B">
      <w:pPr>
        <w:pStyle w:val="Hesber"/>
        <w:ind w:firstLine="0"/>
        <w:rPr>
          <w:color w:val="auto"/>
          <w:rtl/>
          <w:lang w:eastAsia="en-US"/>
        </w:rPr>
      </w:pPr>
      <w:r w:rsidRPr="00D73212">
        <w:rPr>
          <w:color w:val="auto"/>
          <w:rtl/>
          <w:lang w:eastAsia="en-US"/>
        </w:rPr>
        <w:t>---------------------------------</w:t>
      </w:r>
    </w:p>
    <w:p w14:paraId="28C329A4" w14:textId="77777777" w:rsidR="00BC1A3B" w:rsidRPr="0051670D" w:rsidRDefault="00BC1A3B" w:rsidP="00BC1A3B">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622150C4" w14:textId="77777777" w:rsidR="00BC1A3B" w:rsidRPr="0051670D" w:rsidRDefault="00BC1A3B" w:rsidP="00BC1A3B">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33246764" w14:textId="77777777" w:rsidR="00BC1A3B" w:rsidRPr="0051670D" w:rsidRDefault="00BC1A3B" w:rsidP="00BC1A3B">
      <w:pPr>
        <w:pStyle w:val="Hesber"/>
        <w:ind w:firstLine="0"/>
        <w:rPr>
          <w:sz w:val="26"/>
          <w:rtl/>
        </w:rPr>
      </w:pPr>
      <w:r>
        <w:rPr>
          <w:rFonts w:hint="cs"/>
          <w:color w:val="auto"/>
          <w:rtl/>
          <w:lang w:eastAsia="en-US"/>
        </w:rPr>
        <w:t>ח'</w:t>
      </w:r>
      <w:r w:rsidRPr="0051670D">
        <w:rPr>
          <w:rFonts w:hint="cs"/>
          <w:color w:val="auto"/>
          <w:sz w:val="26"/>
          <w:rtl/>
          <w:lang w:eastAsia="en-US"/>
        </w:rPr>
        <w:t xml:space="preserve"> ב</w:t>
      </w:r>
      <w:r>
        <w:rPr>
          <w:rFonts w:hint="cs"/>
          <w:color w:val="auto"/>
          <w:sz w:val="26"/>
          <w:rtl/>
          <w:lang w:eastAsia="en-US"/>
        </w:rPr>
        <w:t>חשוון</w:t>
      </w:r>
      <w:r w:rsidRPr="0051670D">
        <w:rPr>
          <w:rFonts w:hint="cs"/>
          <w:color w:val="auto"/>
          <w:sz w:val="26"/>
          <w:rtl/>
          <w:lang w:eastAsia="en-US"/>
        </w:rPr>
        <w:t xml:space="preserve"> התש</w:t>
      </w:r>
      <w:r>
        <w:rPr>
          <w:rFonts w:hint="cs"/>
          <w:color w:val="auto"/>
          <w:sz w:val="26"/>
          <w:rtl/>
          <w:lang w:eastAsia="en-US"/>
        </w:rPr>
        <w:t>פ"א</w:t>
      </w:r>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w:t>
      </w:r>
      <w:r>
        <w:rPr>
          <w:rFonts w:hint="cs"/>
          <w:color w:val="auto"/>
          <w:sz w:val="26"/>
          <w:rtl/>
          <w:lang w:eastAsia="en-US"/>
        </w:rPr>
        <w:t>26.10.20</w:t>
      </w:r>
    </w:p>
    <w:p w14:paraId="1EED4712" w14:textId="77777777" w:rsidR="00BC1A3B" w:rsidRPr="001415DE" w:rsidRDefault="00BC1A3B" w:rsidP="001415DE">
      <w:pPr>
        <w:pStyle w:val="Hesber"/>
        <w:rPr>
          <w:rtl/>
        </w:rPr>
      </w:pPr>
    </w:p>
    <w:p w14:paraId="3A1CC5BE" w14:textId="77777777" w:rsidR="00A20E90" w:rsidRPr="00A20E90" w:rsidRDefault="00A20E90" w:rsidP="00547FF4">
      <w:pPr>
        <w:tabs>
          <w:tab w:val="right" w:pos="2160"/>
          <w:tab w:val="right" w:pos="2430"/>
          <w:tab w:val="right" w:pos="3330"/>
          <w:tab w:val="right" w:pos="3960"/>
          <w:tab w:val="right" w:pos="4590"/>
          <w:tab w:val="right" w:pos="5490"/>
        </w:tabs>
        <w:autoSpaceDE/>
        <w:autoSpaceDN/>
        <w:adjustRightInd/>
        <w:spacing w:before="0" w:after="160" w:line="360" w:lineRule="auto"/>
        <w:ind w:left="340" w:firstLine="0"/>
        <w:contextualSpacing/>
        <w:textAlignment w:val="auto"/>
        <w:rPr>
          <w:rFonts w:ascii="David" w:eastAsia="Calibri" w:hAnsi="David" w:cs="David"/>
          <w:color w:val="auto"/>
          <w:spacing w:val="0"/>
          <w:sz w:val="24"/>
          <w:szCs w:val="24"/>
          <w:lang w:eastAsia="en-US"/>
        </w:rPr>
      </w:pPr>
    </w:p>
    <w:p w14:paraId="7F6961CB" w14:textId="77777777" w:rsidR="00E13C27" w:rsidRPr="00A20E90" w:rsidRDefault="00E13C27" w:rsidP="00547FF4">
      <w:pPr>
        <w:pStyle w:val="Hesber"/>
        <w:rPr>
          <w:rtl/>
        </w:rPr>
      </w:pPr>
    </w:p>
    <w:sectPr w:rsidR="00E13C27" w:rsidRPr="00A20E9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C1A3B">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4EB9102" w14:textId="1E6A7403" w:rsidR="006D0230" w:rsidRDefault="006D0230">
      <w:pPr>
        <w:pStyle w:val="a4"/>
      </w:pPr>
      <w:r>
        <w:rPr>
          <w:rStyle w:val="a6"/>
        </w:rPr>
        <w:footnoteRef/>
      </w:r>
      <w:r>
        <w:rPr>
          <w:rtl/>
        </w:rPr>
        <w:t xml:space="preserve"> </w:t>
      </w:r>
      <w:r>
        <w:rPr>
          <w:rFonts w:hint="cs"/>
          <w:rtl/>
        </w:rPr>
        <w:t>דיני מדינת ישראל, נוסח חדש 18, עמ' 421.</w:t>
      </w:r>
    </w:p>
  </w:footnote>
  <w:footnote w:id="3">
    <w:p w14:paraId="0E3E9E0F" w14:textId="2F04F7E5" w:rsidR="0085725E" w:rsidRDefault="0085725E">
      <w:pPr>
        <w:pStyle w:val="a4"/>
        <w:rPr>
          <w:rtl/>
        </w:rPr>
      </w:pPr>
      <w:r>
        <w:rPr>
          <w:rStyle w:val="a6"/>
        </w:rPr>
        <w:footnoteRef/>
      </w:r>
      <w:r>
        <w:rPr>
          <w:rtl/>
        </w:rPr>
        <w:t xml:space="preserve"> </w:t>
      </w:r>
      <w:r>
        <w:rPr>
          <w:rFonts w:hint="cs"/>
          <w:rtl/>
        </w:rPr>
        <w:t>ס"ח התשל"ז, עמ' 226.</w:t>
      </w:r>
    </w:p>
  </w:footnote>
  <w:footnote w:id="4">
    <w:p w14:paraId="43B53D75" w14:textId="77777777" w:rsidR="0085725E" w:rsidRDefault="0085725E" w:rsidP="0085725E">
      <w:pPr>
        <w:pStyle w:val="a4"/>
        <w:rPr>
          <w:rtl/>
        </w:rPr>
      </w:pPr>
      <w:r>
        <w:rPr>
          <w:rStyle w:val="a6"/>
        </w:rPr>
        <w:footnoteRef/>
      </w:r>
      <w:r>
        <w:rPr>
          <w:rtl/>
        </w:rPr>
        <w:t xml:space="preserve"> </w:t>
      </w:r>
      <w:r>
        <w:rPr>
          <w:rFonts w:hint="cs"/>
          <w:rtl/>
        </w:rPr>
        <w:t>ס"ח התשל"ב, עמ' 95.</w:t>
      </w:r>
    </w:p>
  </w:footnote>
  <w:footnote w:id="5">
    <w:p w14:paraId="31BAE824" w14:textId="528F4307" w:rsidR="00582AA4" w:rsidRDefault="00582AA4">
      <w:pPr>
        <w:pStyle w:val="a4"/>
      </w:pPr>
      <w:r>
        <w:rPr>
          <w:rStyle w:val="a6"/>
        </w:rPr>
        <w:footnoteRef/>
      </w:r>
      <w:r>
        <w:rPr>
          <w:rtl/>
        </w:rPr>
        <w:t xml:space="preserve"> </w:t>
      </w:r>
      <w:r>
        <w:rPr>
          <w:rFonts w:hint="cs"/>
          <w:rtl/>
        </w:rPr>
        <w:t>ס"ח מס' 237, עמ'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27AB4"/>
    <w:multiLevelType w:val="hybridMultilevel"/>
    <w:tmpl w:val="33BC2E1E"/>
    <w:lvl w:ilvl="0" w:tplc="E37E1AB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43142"/>
    <w:multiLevelType w:val="hybridMultilevel"/>
    <w:tmpl w:val="ED4AC6B8"/>
    <w:lvl w:ilvl="0" w:tplc="CCA0A880">
      <w:start w:val="2"/>
      <w:numFmt w:val="decimal"/>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3F7C50"/>
    <w:multiLevelType w:val="hybridMultilevel"/>
    <w:tmpl w:val="B04E3436"/>
    <w:lvl w:ilvl="0" w:tplc="6C30DBB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40EA9"/>
    <w:multiLevelType w:val="hybridMultilevel"/>
    <w:tmpl w:val="1B3AC578"/>
    <w:lvl w:ilvl="0" w:tplc="E8DA8A7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A50B1"/>
    <w:multiLevelType w:val="hybridMultilevel"/>
    <w:tmpl w:val="C87CBB5E"/>
    <w:lvl w:ilvl="0" w:tplc="A54E1C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581A96"/>
    <w:multiLevelType w:val="hybridMultilevel"/>
    <w:tmpl w:val="A7341AFA"/>
    <w:lvl w:ilvl="0" w:tplc="A6BA9DA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877F6"/>
    <w:multiLevelType w:val="hybridMultilevel"/>
    <w:tmpl w:val="B35C7D7A"/>
    <w:lvl w:ilvl="0" w:tplc="9F7C06C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33479"/>
    <w:multiLevelType w:val="hybridMultilevel"/>
    <w:tmpl w:val="ACA6CE92"/>
    <w:lvl w:ilvl="0" w:tplc="03BEEFE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A6E6B"/>
    <w:multiLevelType w:val="hybridMultilevel"/>
    <w:tmpl w:val="A7341AFA"/>
    <w:lvl w:ilvl="0" w:tplc="A6BA9DA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10551"/>
    <w:multiLevelType w:val="hybridMultilevel"/>
    <w:tmpl w:val="DF7057C4"/>
    <w:lvl w:ilvl="0" w:tplc="199E42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502D6"/>
    <w:multiLevelType w:val="hybridMultilevel"/>
    <w:tmpl w:val="08D6439E"/>
    <w:lvl w:ilvl="0" w:tplc="C660F6B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40EC8"/>
    <w:multiLevelType w:val="hybridMultilevel"/>
    <w:tmpl w:val="A4B404AE"/>
    <w:lvl w:ilvl="0" w:tplc="4D620D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366BE"/>
    <w:multiLevelType w:val="hybridMultilevel"/>
    <w:tmpl w:val="200A95C2"/>
    <w:lvl w:ilvl="0" w:tplc="E2DEEC3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AA8"/>
    <w:multiLevelType w:val="hybridMultilevel"/>
    <w:tmpl w:val="81120EDE"/>
    <w:lvl w:ilvl="0" w:tplc="4A6461C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57198"/>
    <w:multiLevelType w:val="hybridMultilevel"/>
    <w:tmpl w:val="9A7E463C"/>
    <w:lvl w:ilvl="0" w:tplc="5D96AD6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70908"/>
    <w:multiLevelType w:val="hybridMultilevel"/>
    <w:tmpl w:val="6FB04BA8"/>
    <w:lvl w:ilvl="0" w:tplc="67B6374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EE503F"/>
    <w:multiLevelType w:val="hybridMultilevel"/>
    <w:tmpl w:val="93860E14"/>
    <w:lvl w:ilvl="0" w:tplc="4EE63F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30C4E"/>
    <w:multiLevelType w:val="hybridMultilevel"/>
    <w:tmpl w:val="B802CE86"/>
    <w:lvl w:ilvl="0" w:tplc="3BBC22B4">
      <w:start w:val="1"/>
      <w:numFmt w:val="decimal"/>
      <w:lvlText w:val="(%1)"/>
      <w:lvlJc w:val="left"/>
      <w:pPr>
        <w:ind w:left="720" w:hanging="360"/>
      </w:pPr>
      <w:rPr>
        <w:rFonts w:eastAsia="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65CC2"/>
    <w:multiLevelType w:val="hybridMultilevel"/>
    <w:tmpl w:val="AFF6FE50"/>
    <w:lvl w:ilvl="0" w:tplc="F9EC6C2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num>
  <w:num w:numId="13">
    <w:abstractNumId w:val="15"/>
  </w:num>
  <w:num w:numId="14">
    <w:abstractNumId w:val="29"/>
  </w:num>
  <w:num w:numId="15">
    <w:abstractNumId w:val="20"/>
  </w:num>
  <w:num w:numId="16">
    <w:abstractNumId w:val="16"/>
  </w:num>
  <w:num w:numId="17">
    <w:abstractNumId w:val="11"/>
  </w:num>
  <w:num w:numId="18">
    <w:abstractNumId w:val="31"/>
  </w:num>
  <w:num w:numId="19">
    <w:abstractNumId w:val="27"/>
  </w:num>
  <w:num w:numId="20">
    <w:abstractNumId w:val="13"/>
  </w:num>
  <w:num w:numId="21">
    <w:abstractNumId w:val="12"/>
  </w:num>
  <w:num w:numId="22">
    <w:abstractNumId w:val="24"/>
  </w:num>
  <w:num w:numId="23">
    <w:abstractNumId w:val="18"/>
  </w:num>
  <w:num w:numId="24">
    <w:abstractNumId w:val="26"/>
  </w:num>
  <w:num w:numId="25">
    <w:abstractNumId w:val="22"/>
  </w:num>
  <w:num w:numId="26">
    <w:abstractNumId w:val="10"/>
  </w:num>
  <w:num w:numId="27">
    <w:abstractNumId w:val="23"/>
  </w:num>
  <w:num w:numId="28">
    <w:abstractNumId w:val="32"/>
  </w:num>
  <w:num w:numId="29">
    <w:abstractNumId w:val="21"/>
  </w:num>
  <w:num w:numId="30">
    <w:abstractNumId w:val="19"/>
  </w:num>
  <w:num w:numId="31">
    <w:abstractNumId w:val="30"/>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5DE"/>
    <w:rsid w:val="0014195F"/>
    <w:rsid w:val="00152609"/>
    <w:rsid w:val="00153E1B"/>
    <w:rsid w:val="00193146"/>
    <w:rsid w:val="001A0623"/>
    <w:rsid w:val="001A0B37"/>
    <w:rsid w:val="001A55E9"/>
    <w:rsid w:val="001B29AE"/>
    <w:rsid w:val="001C23B0"/>
    <w:rsid w:val="001D7AAF"/>
    <w:rsid w:val="00203A7F"/>
    <w:rsid w:val="0021633A"/>
    <w:rsid w:val="002200A1"/>
    <w:rsid w:val="002303C5"/>
    <w:rsid w:val="002362BF"/>
    <w:rsid w:val="00241B97"/>
    <w:rsid w:val="002425D1"/>
    <w:rsid w:val="00246756"/>
    <w:rsid w:val="00251E58"/>
    <w:rsid w:val="00254605"/>
    <w:rsid w:val="002644E4"/>
    <w:rsid w:val="00266D86"/>
    <w:rsid w:val="002728B4"/>
    <w:rsid w:val="0027600C"/>
    <w:rsid w:val="00292712"/>
    <w:rsid w:val="002A487D"/>
    <w:rsid w:val="002C2E29"/>
    <w:rsid w:val="002C3041"/>
    <w:rsid w:val="002D1EE3"/>
    <w:rsid w:val="002F1D80"/>
    <w:rsid w:val="003232A2"/>
    <w:rsid w:val="00325C14"/>
    <w:rsid w:val="0036422C"/>
    <w:rsid w:val="003710F6"/>
    <w:rsid w:val="00383C00"/>
    <w:rsid w:val="00386E88"/>
    <w:rsid w:val="00396585"/>
    <w:rsid w:val="003D6E38"/>
    <w:rsid w:val="003D74A0"/>
    <w:rsid w:val="004033D8"/>
    <w:rsid w:val="004073F0"/>
    <w:rsid w:val="00412A7D"/>
    <w:rsid w:val="00416B4D"/>
    <w:rsid w:val="00417CFC"/>
    <w:rsid w:val="00474BF8"/>
    <w:rsid w:val="00495C07"/>
    <w:rsid w:val="004A06DC"/>
    <w:rsid w:val="004B24ED"/>
    <w:rsid w:val="004B6625"/>
    <w:rsid w:val="004D2D82"/>
    <w:rsid w:val="004D3876"/>
    <w:rsid w:val="004E4552"/>
    <w:rsid w:val="004E6CDF"/>
    <w:rsid w:val="005041CF"/>
    <w:rsid w:val="00547FF4"/>
    <w:rsid w:val="00553C9D"/>
    <w:rsid w:val="0056138E"/>
    <w:rsid w:val="00562A66"/>
    <w:rsid w:val="00582AA4"/>
    <w:rsid w:val="005B064E"/>
    <w:rsid w:val="005D51AE"/>
    <w:rsid w:val="00600871"/>
    <w:rsid w:val="0062674B"/>
    <w:rsid w:val="006363B2"/>
    <w:rsid w:val="00644940"/>
    <w:rsid w:val="00664867"/>
    <w:rsid w:val="006818A9"/>
    <w:rsid w:val="006A2D81"/>
    <w:rsid w:val="006C1D0D"/>
    <w:rsid w:val="006D0230"/>
    <w:rsid w:val="0070601E"/>
    <w:rsid w:val="00712C72"/>
    <w:rsid w:val="00735FE9"/>
    <w:rsid w:val="00763CAA"/>
    <w:rsid w:val="00765F66"/>
    <w:rsid w:val="00776F45"/>
    <w:rsid w:val="0078664F"/>
    <w:rsid w:val="007A27CE"/>
    <w:rsid w:val="007C3FA6"/>
    <w:rsid w:val="007D585A"/>
    <w:rsid w:val="007D5A12"/>
    <w:rsid w:val="007E59F9"/>
    <w:rsid w:val="00810BCD"/>
    <w:rsid w:val="00812C98"/>
    <w:rsid w:val="00814D92"/>
    <w:rsid w:val="0083181D"/>
    <w:rsid w:val="00843EB2"/>
    <w:rsid w:val="0085725E"/>
    <w:rsid w:val="00865572"/>
    <w:rsid w:val="00874BBC"/>
    <w:rsid w:val="00877FED"/>
    <w:rsid w:val="00892135"/>
    <w:rsid w:val="00895449"/>
    <w:rsid w:val="00897879"/>
    <w:rsid w:val="008A6870"/>
    <w:rsid w:val="008C2DDC"/>
    <w:rsid w:val="008C7516"/>
    <w:rsid w:val="008E6EC7"/>
    <w:rsid w:val="008F0D63"/>
    <w:rsid w:val="008F1308"/>
    <w:rsid w:val="008F2C35"/>
    <w:rsid w:val="008F3474"/>
    <w:rsid w:val="008F6665"/>
    <w:rsid w:val="008F6E14"/>
    <w:rsid w:val="00904591"/>
    <w:rsid w:val="00905E5F"/>
    <w:rsid w:val="0091204F"/>
    <w:rsid w:val="009203DB"/>
    <w:rsid w:val="00923CD4"/>
    <w:rsid w:val="00930EFE"/>
    <w:rsid w:val="00943386"/>
    <w:rsid w:val="009456B6"/>
    <w:rsid w:val="00957589"/>
    <w:rsid w:val="00966D06"/>
    <w:rsid w:val="00982412"/>
    <w:rsid w:val="00983A8D"/>
    <w:rsid w:val="009865B8"/>
    <w:rsid w:val="009A0DB8"/>
    <w:rsid w:val="009A7257"/>
    <w:rsid w:val="009D2846"/>
    <w:rsid w:val="009D6E0A"/>
    <w:rsid w:val="009E1E33"/>
    <w:rsid w:val="009F3738"/>
    <w:rsid w:val="00A14672"/>
    <w:rsid w:val="00A20E90"/>
    <w:rsid w:val="00A26BD6"/>
    <w:rsid w:val="00A443CF"/>
    <w:rsid w:val="00A6611D"/>
    <w:rsid w:val="00A66DD3"/>
    <w:rsid w:val="00A82CB7"/>
    <w:rsid w:val="00A942C1"/>
    <w:rsid w:val="00AA2F03"/>
    <w:rsid w:val="00AC36F7"/>
    <w:rsid w:val="00AC63A4"/>
    <w:rsid w:val="00AD239E"/>
    <w:rsid w:val="00AE339E"/>
    <w:rsid w:val="00B10265"/>
    <w:rsid w:val="00B16A99"/>
    <w:rsid w:val="00B21211"/>
    <w:rsid w:val="00B35784"/>
    <w:rsid w:val="00B733A7"/>
    <w:rsid w:val="00B75C91"/>
    <w:rsid w:val="00B86DD9"/>
    <w:rsid w:val="00B975AD"/>
    <w:rsid w:val="00BA6324"/>
    <w:rsid w:val="00BC1A3B"/>
    <w:rsid w:val="00BC45FB"/>
    <w:rsid w:val="00BF148D"/>
    <w:rsid w:val="00C23B1A"/>
    <w:rsid w:val="00C310EB"/>
    <w:rsid w:val="00C56031"/>
    <w:rsid w:val="00C80DB2"/>
    <w:rsid w:val="00C9176A"/>
    <w:rsid w:val="00CF1AA2"/>
    <w:rsid w:val="00D142D3"/>
    <w:rsid w:val="00D151BC"/>
    <w:rsid w:val="00D17774"/>
    <w:rsid w:val="00D63620"/>
    <w:rsid w:val="00D8410D"/>
    <w:rsid w:val="00D867D7"/>
    <w:rsid w:val="00D868F3"/>
    <w:rsid w:val="00DB1CDE"/>
    <w:rsid w:val="00DB7060"/>
    <w:rsid w:val="00DE3153"/>
    <w:rsid w:val="00E06736"/>
    <w:rsid w:val="00E13C27"/>
    <w:rsid w:val="00E33BBD"/>
    <w:rsid w:val="00E374F2"/>
    <w:rsid w:val="00E45103"/>
    <w:rsid w:val="00E55A60"/>
    <w:rsid w:val="00E62778"/>
    <w:rsid w:val="00E635A2"/>
    <w:rsid w:val="00E63D38"/>
    <w:rsid w:val="00E665B9"/>
    <w:rsid w:val="00E735CD"/>
    <w:rsid w:val="00EA01E6"/>
    <w:rsid w:val="00EA3DE8"/>
    <w:rsid w:val="00EA758F"/>
    <w:rsid w:val="00ED4A6F"/>
    <w:rsid w:val="00EF3A3A"/>
    <w:rsid w:val="00F03DFD"/>
    <w:rsid w:val="00F37F65"/>
    <w:rsid w:val="00F628D6"/>
    <w:rsid w:val="00F67051"/>
    <w:rsid w:val="00F86A1E"/>
    <w:rsid w:val="00FA5E88"/>
    <w:rsid w:val="00FB6F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ACC8521-DE5B-43DD-8573-701782B7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77FE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567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F900B5-7F28-4077-80AA-5796FB36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FCE3-E2DC-45EC-BB5D-DFA1EF00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1088</Words>
  <Characters>6208</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30</cp:revision>
  <cp:lastPrinted>2020-10-25T06:22:00Z</cp:lastPrinted>
  <dcterms:created xsi:type="dcterms:W3CDTF">2015-04-20T09:58:00Z</dcterms:created>
  <dcterms:modified xsi:type="dcterms:W3CDTF">2020-10-25T06:23:00Z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2146275</vt:r8>
  </property>
</Properties>
</file>