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F6961A1" w14:textId="77777777" w:rsidR="002C2E29" w:rsidRPr="00E635A2" w:rsidRDefault="004033D8" w:rsidP="00E635A2">
      <w:pPr>
        <w:jc w:val="right"/>
        <w:rPr>
          <w:b/>
          <w:bCs/>
          <w:sz w:val="20"/>
          <w:szCs w:val="20"/>
        </w:rPr>
      </w:pPr>
      <w:r w:rsidRPr="00E635A2">
        <w:rPr>
          <w:rFonts w:hint="cs"/>
          <w:sz w:val="20"/>
          <w:szCs w:val="20"/>
          <w:rtl/>
        </w:rPr>
        <w:t xml:space="preserve">מספר פנימי: </w:t>
      </w:r>
      <w:bookmarkStart w:id="0" w:name="LGS_Internal_ID"/>
      <w:r>
        <w:rPr>
          <w:rFonts w:hint="cs"/>
          <w:sz w:val="20"/>
          <w:szCs w:val="20"/>
          <w:rtl/>
        </w:rPr>
        <w:t>2142605</w:t>
      </w:r>
      <w:bookmarkEnd w:id="0"/>
    </w:p>
    <w:p w14:paraId="7F6961A2" w14:textId="53D639AE" w:rsidR="00E13C27" w:rsidRPr="00DB7060" w:rsidRDefault="00E13C27" w:rsidP="00A443CF">
      <w:pPr>
        <w:pStyle w:val="HeadHatzaotHok"/>
        <w:rPr>
          <w:sz w:val="28"/>
          <w:szCs w:val="28"/>
          <w:rtl/>
        </w:rPr>
      </w:pPr>
      <w:r w:rsidRPr="00DB7060">
        <w:rPr>
          <w:rFonts w:hint="cs"/>
          <w:sz w:val="28"/>
          <w:szCs w:val="28"/>
          <w:rtl/>
        </w:rPr>
        <w:t xml:space="preserve">הכנסת </w:t>
      </w:r>
      <w:bookmarkStart w:id="1" w:name="LGS_Knesset_Num"/>
      <w:r>
        <w:rPr>
          <w:rFonts w:hint="cs"/>
          <w:sz w:val="28"/>
          <w:szCs w:val="28"/>
          <w:rtl/>
        </w:rPr>
        <w:t>העשרים ושלוש</w:t>
      </w:r>
      <w:bookmarkEnd w:id="1"/>
    </w:p>
    <w:p w14:paraId="7F6961A3" w14:textId="77777777" w:rsidR="00E13C27" w:rsidRPr="00F67051" w:rsidRDefault="00E13C27" w:rsidP="00E13C27">
      <w:pPr>
        <w:rPr>
          <w:b/>
          <w:bCs/>
          <w:sz w:val="26"/>
          <w:szCs w:val="26"/>
          <w:rtl/>
        </w:rPr>
      </w:pPr>
    </w:p>
    <w:p w14:paraId="7F6961AA" w14:textId="5AC43120" w:rsidR="00E13C27" w:rsidRPr="00CF1AA2" w:rsidRDefault="008F6665" w:rsidP="00620943">
      <w:pPr>
        <w:pStyle w:val="David"/>
        <w:ind w:left="3544"/>
        <w:rPr>
          <w:b/>
          <w:bCs/>
          <w:sz w:val="16"/>
          <w:szCs w:val="16"/>
          <w:rtl/>
        </w:rPr>
      </w:pPr>
      <w:bookmarkStart w:id="2" w:name="LGS_Initiators_List"/>
      <w:r>
        <w:rPr>
          <w:b/>
          <w:bCs/>
          <w:rtl/>
        </w:rPr>
        <w:t>יוזמים:      חברי הכנסת</w:t>
      </w:r>
      <w:bookmarkEnd w:id="2"/>
      <w:r w:rsidR="00B35784" w:rsidRPr="00F67051">
        <w:rPr>
          <w:b/>
          <w:bCs/>
        </w:rPr>
        <w:tab/>
      </w:r>
      <w:bookmarkStart w:id="3" w:name="LGS_PM_Names"/>
      <w:r>
        <w:rPr>
          <w:rFonts w:hint="cs"/>
          <w:b/>
          <w:bCs/>
          <w:rtl/>
        </w:rPr>
        <w:t>אבי דיכטר</w:t>
      </w:r>
      <w:r>
        <w:br/>
      </w:r>
      <w:r>
        <w:rPr>
          <w:rFonts w:hint="cs"/>
          <w:b/>
          <w:bCs/>
          <w:rtl/>
        </w:rPr>
        <w:t xml:space="preserve"> </w:t>
      </w:r>
      <w:r>
        <w:tab/>
      </w:r>
      <w:r>
        <w:tab/>
      </w:r>
      <w:r>
        <w:tab/>
      </w:r>
      <w:r>
        <w:tab/>
      </w:r>
      <w:r>
        <w:rPr>
          <w:rFonts w:hint="cs"/>
          <w:b/>
          <w:bCs/>
          <w:rtl/>
        </w:rPr>
        <w:t>שרן מרים השכל</w:t>
      </w:r>
      <w:r>
        <w:br/>
      </w:r>
      <w:r>
        <w:rPr>
          <w:rFonts w:hint="cs"/>
          <w:b/>
          <w:bCs/>
          <w:rtl/>
        </w:rPr>
        <w:t xml:space="preserve"> </w:t>
      </w:r>
      <w:r>
        <w:tab/>
      </w:r>
      <w:r>
        <w:tab/>
      </w:r>
      <w:r>
        <w:tab/>
      </w:r>
      <w:r>
        <w:tab/>
      </w:r>
      <w:r>
        <w:rPr>
          <w:rFonts w:hint="cs"/>
          <w:b/>
          <w:bCs/>
          <w:rtl/>
        </w:rPr>
        <w:t>ינון אזולאי</w:t>
      </w:r>
      <w:r>
        <w:br/>
      </w:r>
      <w:r>
        <w:rPr>
          <w:rFonts w:hint="cs"/>
          <w:b/>
          <w:bCs/>
          <w:rtl/>
        </w:rPr>
        <w:t xml:space="preserve"> </w:t>
      </w:r>
      <w:r>
        <w:tab/>
      </w:r>
      <w:r>
        <w:tab/>
      </w:r>
      <w:r>
        <w:tab/>
      </w:r>
      <w:r>
        <w:tab/>
      </w:r>
      <w:r>
        <w:rPr>
          <w:rFonts w:hint="cs"/>
          <w:b/>
          <w:bCs/>
          <w:rtl/>
        </w:rPr>
        <w:t>דוד ביטן</w:t>
      </w:r>
      <w:r>
        <w:br/>
      </w:r>
      <w:r>
        <w:rPr>
          <w:rFonts w:hint="cs"/>
          <w:b/>
          <w:bCs/>
          <w:rtl/>
        </w:rPr>
        <w:t xml:space="preserve"> </w:t>
      </w:r>
      <w:r>
        <w:tab/>
      </w:r>
      <w:r>
        <w:tab/>
      </w:r>
      <w:r>
        <w:tab/>
      </w:r>
      <w:r>
        <w:tab/>
      </w:r>
      <w:r>
        <w:rPr>
          <w:rFonts w:hint="cs"/>
          <w:b/>
          <w:bCs/>
          <w:rtl/>
        </w:rPr>
        <w:t>משה ארבל</w:t>
      </w:r>
      <w:r>
        <w:br/>
      </w:r>
      <w:r>
        <w:rPr>
          <w:rFonts w:hint="cs"/>
          <w:b/>
          <w:bCs/>
          <w:rtl/>
        </w:rPr>
        <w:t xml:space="preserve"> </w:t>
      </w:r>
      <w:r>
        <w:tab/>
      </w:r>
      <w:r>
        <w:tab/>
      </w:r>
      <w:r>
        <w:tab/>
      </w:r>
      <w:r>
        <w:tab/>
      </w:r>
      <w:r>
        <w:rPr>
          <w:rFonts w:hint="cs"/>
          <w:b/>
          <w:bCs/>
          <w:rtl/>
        </w:rPr>
        <w:t>אורנה ברביבאי</w:t>
      </w:r>
      <w:r>
        <w:br/>
      </w:r>
      <w:r>
        <w:rPr>
          <w:rFonts w:hint="cs"/>
          <w:b/>
          <w:bCs/>
          <w:rtl/>
        </w:rPr>
        <w:t xml:space="preserve"> </w:t>
      </w:r>
      <w:r>
        <w:tab/>
      </w:r>
      <w:r>
        <w:tab/>
      </w:r>
      <w:r>
        <w:tab/>
      </w:r>
      <w:r>
        <w:tab/>
      </w:r>
      <w:r>
        <w:rPr>
          <w:rFonts w:hint="cs"/>
          <w:b/>
          <w:bCs/>
          <w:rtl/>
        </w:rPr>
        <w:t>מאיר כהן</w:t>
      </w:r>
      <w:r>
        <w:br/>
      </w:r>
      <w:r>
        <w:rPr>
          <w:rFonts w:hint="cs"/>
          <w:b/>
          <w:bCs/>
          <w:rtl/>
        </w:rPr>
        <w:t xml:space="preserve"> </w:t>
      </w:r>
      <w:r>
        <w:tab/>
      </w:r>
      <w:r>
        <w:tab/>
      </w:r>
      <w:r>
        <w:tab/>
      </w:r>
      <w:r>
        <w:tab/>
      </w:r>
      <w:r>
        <w:rPr>
          <w:rFonts w:hint="cs"/>
          <w:b/>
          <w:bCs/>
          <w:rtl/>
        </w:rPr>
        <w:t>מכלוף מיקי זוהר</w:t>
      </w:r>
      <w:r>
        <w:br/>
      </w:r>
      <w:r>
        <w:rPr>
          <w:rFonts w:hint="cs"/>
          <w:b/>
          <w:bCs/>
          <w:rtl/>
        </w:rPr>
        <w:t xml:space="preserve"> </w:t>
      </w:r>
      <w:r>
        <w:tab/>
      </w:r>
      <w:r>
        <w:tab/>
      </w:r>
      <w:r>
        <w:tab/>
      </w:r>
      <w:r>
        <w:tab/>
      </w:r>
      <w:r>
        <w:rPr>
          <w:rFonts w:hint="cs"/>
          <w:b/>
          <w:bCs/>
          <w:rtl/>
        </w:rPr>
        <w:t>ניר ברקת</w:t>
      </w:r>
      <w:r>
        <w:br/>
      </w:r>
      <w:r>
        <w:rPr>
          <w:rFonts w:hint="cs"/>
          <w:b/>
          <w:bCs/>
          <w:rtl/>
        </w:rPr>
        <w:t xml:space="preserve"> </w:t>
      </w:r>
      <w:r>
        <w:tab/>
      </w:r>
      <w:r>
        <w:tab/>
      </w:r>
      <w:r>
        <w:tab/>
      </w:r>
      <w:r>
        <w:tab/>
      </w:r>
      <w:r>
        <w:rPr>
          <w:rFonts w:hint="cs"/>
          <w:b/>
          <w:bCs/>
          <w:rtl/>
        </w:rPr>
        <w:t>טלי פלוסקוב</w:t>
      </w:r>
      <w:r>
        <w:br/>
      </w:r>
      <w:r>
        <w:rPr>
          <w:rFonts w:hint="cs"/>
          <w:b/>
          <w:bCs/>
          <w:rtl/>
        </w:rPr>
        <w:t xml:space="preserve"> </w:t>
      </w:r>
      <w:r>
        <w:tab/>
      </w:r>
      <w:r>
        <w:tab/>
      </w:r>
      <w:r>
        <w:tab/>
      </w:r>
      <w:r>
        <w:tab/>
      </w:r>
      <w:r>
        <w:rPr>
          <w:rFonts w:hint="cs"/>
          <w:b/>
          <w:bCs/>
          <w:rtl/>
        </w:rPr>
        <w:t>איתן גינזבורג</w:t>
      </w:r>
      <w:r>
        <w:br/>
      </w:r>
      <w:r>
        <w:rPr>
          <w:rFonts w:hint="cs"/>
          <w:b/>
          <w:bCs/>
          <w:rtl/>
        </w:rPr>
        <w:t xml:space="preserve"> </w:t>
      </w:r>
      <w:r>
        <w:tab/>
      </w:r>
      <w:r>
        <w:tab/>
      </w:r>
      <w:r>
        <w:tab/>
      </w:r>
      <w:r>
        <w:tab/>
      </w:r>
      <w:r>
        <w:rPr>
          <w:rFonts w:hint="cs"/>
          <w:b/>
          <w:bCs/>
          <w:rtl/>
        </w:rPr>
        <w:t>קרן ברק</w:t>
      </w:r>
      <w:r>
        <w:br/>
      </w:r>
      <w:r>
        <w:rPr>
          <w:rFonts w:hint="cs"/>
          <w:b/>
          <w:bCs/>
          <w:rtl/>
        </w:rPr>
        <w:t xml:space="preserve"> </w:t>
      </w:r>
      <w:r>
        <w:tab/>
      </w:r>
      <w:r>
        <w:tab/>
      </w:r>
      <w:r>
        <w:tab/>
      </w:r>
      <w:r>
        <w:tab/>
      </w:r>
      <w:r>
        <w:rPr>
          <w:rFonts w:hint="cs"/>
          <w:b/>
          <w:bCs/>
          <w:rtl/>
        </w:rPr>
        <w:t>עודד פורר</w:t>
      </w:r>
      <w:r>
        <w:br/>
      </w:r>
      <w:r>
        <w:rPr>
          <w:rFonts w:hint="cs"/>
          <w:b/>
          <w:bCs/>
          <w:rtl/>
        </w:rPr>
        <w:t xml:space="preserve"> </w:t>
      </w:r>
      <w:r>
        <w:tab/>
      </w:r>
      <w:r>
        <w:tab/>
      </w:r>
      <w:r>
        <w:tab/>
      </w:r>
      <w:r>
        <w:tab/>
      </w:r>
      <w:r>
        <w:rPr>
          <w:rFonts w:hint="cs"/>
          <w:b/>
          <w:bCs/>
          <w:rtl/>
        </w:rPr>
        <w:t>אלכס קושניר</w:t>
      </w:r>
      <w:r>
        <w:br/>
      </w:r>
      <w:r>
        <w:rPr>
          <w:rFonts w:hint="cs"/>
          <w:b/>
          <w:bCs/>
          <w:rtl/>
        </w:rPr>
        <w:t xml:space="preserve"> </w:t>
      </w:r>
      <w:r>
        <w:tab/>
      </w:r>
      <w:r>
        <w:tab/>
      </w:r>
      <w:r>
        <w:tab/>
      </w:r>
      <w:r>
        <w:tab/>
      </w:r>
      <w:r>
        <w:rPr>
          <w:rFonts w:hint="cs"/>
          <w:b/>
          <w:bCs/>
          <w:rtl/>
        </w:rPr>
        <w:t>יוליה מלינובסקי קונין</w:t>
      </w:r>
      <w:r>
        <w:br/>
      </w:r>
      <w:r>
        <w:rPr>
          <w:rFonts w:hint="cs"/>
          <w:b/>
          <w:bCs/>
          <w:rtl/>
        </w:rPr>
        <w:t xml:space="preserve"> </w:t>
      </w:r>
      <w:r>
        <w:tab/>
      </w:r>
      <w:r>
        <w:tab/>
      </w:r>
      <w:r>
        <w:tab/>
      </w:r>
      <w:r>
        <w:tab/>
      </w:r>
      <w:r>
        <w:rPr>
          <w:rFonts w:hint="cs"/>
          <w:b/>
          <w:bCs/>
          <w:rtl/>
        </w:rPr>
        <w:t>יבגני סובה</w:t>
      </w:r>
      <w:r>
        <w:br/>
      </w:r>
      <w:r>
        <w:rPr>
          <w:rFonts w:hint="cs"/>
          <w:b/>
          <w:bCs/>
          <w:rtl/>
        </w:rPr>
        <w:t xml:space="preserve"> </w:t>
      </w:r>
      <w:r>
        <w:tab/>
      </w:r>
      <w:r>
        <w:tab/>
      </w:r>
      <w:r>
        <w:tab/>
      </w:r>
      <w:r>
        <w:tab/>
      </w:r>
      <w:r>
        <w:rPr>
          <w:rFonts w:hint="cs"/>
          <w:b/>
          <w:bCs/>
          <w:rtl/>
        </w:rPr>
        <w:t>אלי אבידר</w:t>
      </w:r>
      <w:r>
        <w:br/>
      </w:r>
      <w:r>
        <w:rPr>
          <w:rFonts w:hint="cs"/>
          <w:b/>
          <w:bCs/>
          <w:rtl/>
        </w:rPr>
        <w:t xml:space="preserve"> </w:t>
      </w:r>
      <w:r>
        <w:tab/>
      </w:r>
      <w:r>
        <w:tab/>
      </w:r>
      <w:r>
        <w:tab/>
      </w:r>
      <w:r>
        <w:tab/>
      </w:r>
      <w:r>
        <w:rPr>
          <w:rFonts w:hint="cs"/>
          <w:b/>
          <w:bCs/>
          <w:rtl/>
        </w:rPr>
        <w:t>אלעזר שטרן</w:t>
      </w:r>
      <w:r>
        <w:br/>
      </w:r>
      <w:r>
        <w:rPr>
          <w:rFonts w:hint="cs"/>
          <w:b/>
          <w:bCs/>
          <w:rtl/>
        </w:rPr>
        <w:t xml:space="preserve"> </w:t>
      </w:r>
      <w:r>
        <w:tab/>
      </w:r>
      <w:r>
        <w:tab/>
      </w:r>
      <w:r>
        <w:tab/>
      </w:r>
      <w:r>
        <w:tab/>
      </w:r>
      <w:r>
        <w:rPr>
          <w:rFonts w:hint="cs"/>
          <w:b/>
          <w:bCs/>
          <w:rtl/>
        </w:rPr>
        <w:t>חיים כץ</w:t>
      </w:r>
      <w:r>
        <w:br/>
      </w:r>
      <w:r>
        <w:rPr>
          <w:rFonts w:hint="cs"/>
          <w:b/>
          <w:bCs/>
          <w:rtl/>
        </w:rPr>
        <w:t xml:space="preserve"> </w:t>
      </w:r>
      <w:r>
        <w:tab/>
      </w:r>
      <w:r>
        <w:tab/>
      </w:r>
      <w:r>
        <w:tab/>
      </w:r>
      <w:r>
        <w:tab/>
      </w:r>
      <w:r>
        <w:rPr>
          <w:rFonts w:hint="cs"/>
          <w:b/>
          <w:bCs/>
          <w:rtl/>
        </w:rPr>
        <w:t>יואב סגלוביץ'</w:t>
      </w:r>
      <w:r>
        <w:br/>
      </w:r>
      <w:r>
        <w:rPr>
          <w:rFonts w:hint="cs"/>
          <w:b/>
          <w:bCs/>
          <w:rtl/>
        </w:rPr>
        <w:t xml:space="preserve"> </w:t>
      </w:r>
      <w:r>
        <w:tab/>
      </w:r>
      <w:r>
        <w:tab/>
      </w:r>
      <w:r>
        <w:tab/>
      </w:r>
      <w:r>
        <w:tab/>
      </w:r>
      <w:r>
        <w:rPr>
          <w:rFonts w:hint="cs"/>
          <w:b/>
          <w:bCs/>
          <w:rtl/>
        </w:rPr>
        <w:t>ר</w:t>
      </w:r>
      <w:bookmarkStart w:id="4" w:name="_GoBack"/>
      <w:bookmarkEnd w:id="4"/>
      <w:r>
        <w:rPr>
          <w:rFonts w:hint="cs"/>
          <w:b/>
          <w:bCs/>
          <w:rtl/>
        </w:rPr>
        <w:t>ם בן ברק</w:t>
      </w:r>
      <w:r>
        <w:br/>
      </w:r>
      <w:r>
        <w:rPr>
          <w:rFonts w:hint="cs"/>
          <w:b/>
          <w:bCs/>
          <w:rtl/>
        </w:rPr>
        <w:t xml:space="preserve"> </w:t>
      </w:r>
      <w:r>
        <w:tab/>
      </w:r>
      <w:r>
        <w:tab/>
      </w:r>
      <w:r>
        <w:tab/>
      </w:r>
      <w:r>
        <w:tab/>
      </w:r>
      <w:r>
        <w:rPr>
          <w:rFonts w:hint="cs"/>
          <w:b/>
          <w:bCs/>
          <w:rtl/>
        </w:rPr>
        <w:t>מיכל וונש</w:t>
      </w:r>
      <w:bookmarkStart w:id="5" w:name="LGS_Join_List"/>
      <w:bookmarkEnd w:id="3"/>
      <w:r w:rsidR="007D585A">
        <w:rPr>
          <w:rtl/>
        </w:rPr>
        <w:t xml:space="preserve"> </w:t>
      </w:r>
      <w:bookmarkEnd w:id="5"/>
      <w:r w:rsidR="002200A1" w:rsidRPr="00CF1AA2">
        <w:rPr>
          <w:rFonts w:hint="cs"/>
          <w:rtl/>
        </w:rPr>
        <w:tab/>
      </w:r>
      <w:bookmarkStart w:id="6" w:name="LGS_PM_NamesJoin"/>
      <w:r w:rsidR="007D585A">
        <w:rPr>
          <w:rFonts w:hint="cs"/>
          <w:rtl/>
        </w:rPr>
        <w:t xml:space="preserve"> </w:t>
      </w:r>
      <w:bookmarkEnd w:id="6"/>
    </w:p>
    <w:p w14:paraId="34DB4103" w14:textId="77777777" w:rsidR="00904591" w:rsidRPr="00904591" w:rsidRDefault="00266D86" w:rsidP="0036422C">
      <w:pPr>
        <w:pStyle w:val="David"/>
        <w:ind w:left="3544"/>
        <w:rPr>
          <w:sz w:val="4"/>
          <w:szCs w:val="4"/>
          <w:rtl/>
        </w:rPr>
      </w:pPr>
      <w:r>
        <w:t>____</w:t>
      </w:r>
      <w:r w:rsidR="00E374F2">
        <w:t>__</w:t>
      </w:r>
      <w:r>
        <w:t>________________________________________</w:t>
      </w:r>
      <w:r w:rsidR="00E06736" w:rsidRPr="00E06736">
        <w:tab/>
      </w:r>
      <w:r w:rsidR="00E13C27" w:rsidRPr="00E06736">
        <w:rPr>
          <w:rFonts w:hint="cs"/>
          <w:rtl/>
        </w:rPr>
        <w:tab/>
      </w:r>
      <w:r w:rsidR="00E13C27" w:rsidRPr="00E06736">
        <w:rPr>
          <w:rFonts w:hint="cs"/>
          <w:rtl/>
        </w:rPr>
        <w:tab/>
      </w:r>
      <w:r w:rsidR="00E13C27" w:rsidRPr="00E06736">
        <w:rPr>
          <w:rFonts w:hint="cs"/>
          <w:rtl/>
        </w:rPr>
        <w:tab/>
      </w:r>
      <w:r w:rsidR="00904591">
        <w:t xml:space="preserve">           </w:t>
      </w:r>
    </w:p>
    <w:p w14:paraId="7F6961AB" w14:textId="0828B92D" w:rsidR="00E13C27" w:rsidRPr="00E06736" w:rsidRDefault="00904591" w:rsidP="00620943">
      <w:pPr>
        <w:pStyle w:val="David"/>
        <w:spacing w:line="240" w:lineRule="auto"/>
        <w:ind w:left="6424" w:firstLine="56"/>
        <w:rPr>
          <w:rtl/>
        </w:rPr>
      </w:pPr>
      <w:bookmarkStart w:id="7" w:name="Private_Number"/>
      <w:r>
        <w:rPr>
          <w:rFonts w:hint="cs"/>
          <w:rtl/>
        </w:rPr>
        <w:t>פ/2185/23</w:t>
      </w:r>
      <w:bookmarkEnd w:id="7"/>
    </w:p>
    <w:p w14:paraId="7F6961AC" w14:textId="77777777" w:rsidR="00E13C27" w:rsidRDefault="00E13C27" w:rsidP="00E13C27">
      <w:pPr>
        <w:ind w:left="2880" w:firstLine="720"/>
        <w:rPr>
          <w:sz w:val="26"/>
          <w:szCs w:val="26"/>
          <w:rtl/>
        </w:rPr>
      </w:pPr>
    </w:p>
    <w:p w14:paraId="7F6961AD" w14:textId="0C77C08F" w:rsidR="00E13C27" w:rsidRPr="00F67051" w:rsidRDefault="00A443CF" w:rsidP="00620943">
      <w:pPr>
        <w:pStyle w:val="HeadHatzaotHok"/>
        <w:rPr>
          <w:rtl/>
        </w:rPr>
      </w:pPr>
      <w:bookmarkStart w:id="8" w:name="LGS_Subject"/>
      <w:r>
        <w:rPr>
          <w:rFonts w:hint="cs"/>
          <w:rtl/>
        </w:rPr>
        <w:t>הצעת חוק הגנה על ישראלים מפני מוסדות בין-לאומיים עוינים, התשפ"א</w:t>
      </w:r>
      <w:r w:rsidR="00620943">
        <w:rPr>
          <w:rFonts w:hint="eastAsia"/>
          <w:rtl/>
        </w:rPr>
        <w:t>–</w:t>
      </w:r>
      <w:r>
        <w:rPr>
          <w:rFonts w:hint="cs"/>
          <w:rtl/>
        </w:rPr>
        <w:t>2020</w:t>
      </w:r>
      <w:bookmarkEnd w:id="8"/>
    </w:p>
    <w:p w14:paraId="7F6961AE" w14:textId="77777777" w:rsidR="00E13C27" w:rsidRDefault="00E13C27" w:rsidP="0021633A">
      <w:pPr>
        <w:pStyle w:val="HeadDivreiHesber"/>
        <w:spacing w:before="0" w:after="0"/>
        <w:rPr>
          <w:rtl/>
        </w:rPr>
      </w:pPr>
    </w:p>
    <w:tbl>
      <w:tblPr>
        <w:bidiVisual/>
        <w:tblW w:w="9638" w:type="dxa"/>
        <w:tblLayout w:type="fixed"/>
        <w:tblCellMar>
          <w:top w:w="57" w:type="dxa"/>
          <w:left w:w="0" w:type="dxa"/>
          <w:bottom w:w="57" w:type="dxa"/>
          <w:right w:w="0" w:type="dxa"/>
        </w:tblCellMar>
        <w:tblLook w:val="01E0" w:firstRow="1" w:lastRow="1" w:firstColumn="1" w:lastColumn="1" w:noHBand="0" w:noVBand="0"/>
      </w:tblPr>
      <w:tblGrid>
        <w:gridCol w:w="1871"/>
        <w:gridCol w:w="624"/>
        <w:gridCol w:w="624"/>
        <w:gridCol w:w="624"/>
        <w:gridCol w:w="5895"/>
      </w:tblGrid>
      <w:tr w:rsidR="003D0404" w14:paraId="2981D1AA" w14:textId="77777777" w:rsidTr="00942EA5">
        <w:trPr>
          <w:cantSplit/>
        </w:trPr>
        <w:tc>
          <w:tcPr>
            <w:tcW w:w="1871" w:type="dxa"/>
          </w:tcPr>
          <w:p w14:paraId="64FE18E8" w14:textId="0A7C92B4" w:rsidR="003D0404" w:rsidRDefault="003D0404" w:rsidP="007E751D">
            <w:pPr>
              <w:pStyle w:val="TableSideHeading"/>
              <w:keepLines w:val="0"/>
            </w:pPr>
            <w:r>
              <w:rPr>
                <w:rFonts w:hint="cs"/>
                <w:rtl/>
              </w:rPr>
              <w:t>מטרה</w:t>
            </w:r>
          </w:p>
        </w:tc>
        <w:tc>
          <w:tcPr>
            <w:tcW w:w="624" w:type="dxa"/>
          </w:tcPr>
          <w:p w14:paraId="030E6436" w14:textId="77777777" w:rsidR="003D0404" w:rsidRDefault="003D0404" w:rsidP="003D0404">
            <w:pPr>
              <w:pStyle w:val="TableText"/>
              <w:keepLines w:val="0"/>
              <w:numPr>
                <w:ilvl w:val="0"/>
                <w:numId w:val="12"/>
              </w:numPr>
            </w:pPr>
          </w:p>
        </w:tc>
        <w:tc>
          <w:tcPr>
            <w:tcW w:w="7143" w:type="dxa"/>
            <w:gridSpan w:val="3"/>
          </w:tcPr>
          <w:p w14:paraId="5A271C9E" w14:textId="6FD1A099" w:rsidR="003D0404" w:rsidRPr="00C34DE2" w:rsidRDefault="003D0404" w:rsidP="00942EA5">
            <w:pPr>
              <w:pStyle w:val="TableBlock"/>
            </w:pPr>
            <w:r>
              <w:rPr>
                <w:rFonts w:hint="cs"/>
                <w:rtl/>
              </w:rPr>
              <w:t>חוק זה מטרת</w:t>
            </w:r>
            <w:r w:rsidR="00622CCE">
              <w:rPr>
                <w:rFonts w:hint="cs"/>
                <w:rtl/>
              </w:rPr>
              <w:t>ו</w:t>
            </w:r>
            <w:r>
              <w:rPr>
                <w:rFonts w:hint="cs"/>
                <w:rtl/>
              </w:rPr>
              <w:t xml:space="preserve"> להגן על אנשי כוחות הביטחון ותושבי ישראל מפני פגיעה אישית מצד מוסדות בין-לאומיים</w:t>
            </w:r>
            <w:r w:rsidR="00EA0FC3">
              <w:rPr>
                <w:rFonts w:hint="cs"/>
                <w:rtl/>
              </w:rPr>
              <w:t xml:space="preserve"> עוינים</w:t>
            </w:r>
            <w:r>
              <w:rPr>
                <w:rFonts w:hint="cs"/>
                <w:rtl/>
              </w:rPr>
              <w:t xml:space="preserve">, המבקשים לפגוע בהם בשל מעשים שעשו </w:t>
            </w:r>
            <w:r w:rsidR="00622CCE">
              <w:rPr>
                <w:rFonts w:hint="cs"/>
                <w:rtl/>
              </w:rPr>
              <w:t xml:space="preserve">בשטחה של ישראל או בשליחות </w:t>
            </w:r>
            <w:r>
              <w:rPr>
                <w:rFonts w:hint="cs"/>
                <w:rtl/>
              </w:rPr>
              <w:t>מטעם מדינת ישראל, בין שהמעשים</w:t>
            </w:r>
            <w:r w:rsidR="00622CCE">
              <w:rPr>
                <w:rFonts w:hint="cs"/>
                <w:rtl/>
              </w:rPr>
              <w:t xml:space="preserve"> מהווים</w:t>
            </w:r>
            <w:r>
              <w:rPr>
                <w:rFonts w:hint="cs"/>
                <w:rtl/>
              </w:rPr>
              <w:t xml:space="preserve"> עבירה לפי החוק בישראל ובין שאינם עבירה לפי החוק בישראל.</w:t>
            </w:r>
          </w:p>
        </w:tc>
      </w:tr>
      <w:tr w:rsidR="003D0404" w14:paraId="5973A3E9" w14:textId="77777777" w:rsidTr="00942EA5">
        <w:trPr>
          <w:cantSplit/>
        </w:trPr>
        <w:tc>
          <w:tcPr>
            <w:tcW w:w="1871" w:type="dxa"/>
          </w:tcPr>
          <w:p w14:paraId="2482B554" w14:textId="5C08300F" w:rsidR="003D0404" w:rsidRDefault="003D0404" w:rsidP="007E751D">
            <w:pPr>
              <w:pStyle w:val="TableSideHeading"/>
              <w:keepLines w:val="0"/>
              <w:rPr>
                <w:rtl/>
              </w:rPr>
            </w:pPr>
            <w:r>
              <w:rPr>
                <w:rFonts w:hint="cs"/>
                <w:rtl/>
              </w:rPr>
              <w:t>הגדרות</w:t>
            </w:r>
          </w:p>
        </w:tc>
        <w:tc>
          <w:tcPr>
            <w:tcW w:w="624" w:type="dxa"/>
          </w:tcPr>
          <w:p w14:paraId="4573296A" w14:textId="412889F6" w:rsidR="003D0404" w:rsidRDefault="003D0404" w:rsidP="003D0404">
            <w:pPr>
              <w:pStyle w:val="TableText"/>
            </w:pPr>
            <w:r>
              <w:rPr>
                <w:rFonts w:hint="cs"/>
                <w:rtl/>
              </w:rPr>
              <w:t>2.</w:t>
            </w:r>
          </w:p>
        </w:tc>
        <w:tc>
          <w:tcPr>
            <w:tcW w:w="7143" w:type="dxa"/>
            <w:gridSpan w:val="3"/>
          </w:tcPr>
          <w:p w14:paraId="6E088F70" w14:textId="004FCA57" w:rsidR="003D0404" w:rsidRDefault="003D0404" w:rsidP="00942EA5">
            <w:pPr>
              <w:pStyle w:val="TableBlock"/>
              <w:rPr>
                <w:rtl/>
              </w:rPr>
            </w:pPr>
            <w:r>
              <w:rPr>
                <w:rFonts w:hint="cs"/>
                <w:rtl/>
              </w:rPr>
              <w:t>בחוק זה</w:t>
            </w:r>
            <w:r w:rsidR="00D87E45">
              <w:rPr>
                <w:rFonts w:hint="cs"/>
                <w:rtl/>
              </w:rPr>
              <w:t xml:space="preserve"> –</w:t>
            </w:r>
          </w:p>
        </w:tc>
      </w:tr>
      <w:tr w:rsidR="003D0404" w14:paraId="11F5530F" w14:textId="77777777" w:rsidTr="00942EA5">
        <w:trPr>
          <w:cantSplit/>
        </w:trPr>
        <w:tc>
          <w:tcPr>
            <w:tcW w:w="1871" w:type="dxa"/>
          </w:tcPr>
          <w:p w14:paraId="5B52F93E" w14:textId="77777777" w:rsidR="003D0404" w:rsidRDefault="003D0404" w:rsidP="007E751D">
            <w:pPr>
              <w:pStyle w:val="TableSideHeading"/>
              <w:keepLines w:val="0"/>
              <w:rPr>
                <w:rtl/>
              </w:rPr>
            </w:pPr>
          </w:p>
        </w:tc>
        <w:tc>
          <w:tcPr>
            <w:tcW w:w="624" w:type="dxa"/>
          </w:tcPr>
          <w:p w14:paraId="1930A4E7" w14:textId="77777777" w:rsidR="003D0404" w:rsidRDefault="003D0404" w:rsidP="003D0404">
            <w:pPr>
              <w:pStyle w:val="TableText"/>
              <w:rPr>
                <w:rtl/>
              </w:rPr>
            </w:pPr>
          </w:p>
        </w:tc>
        <w:tc>
          <w:tcPr>
            <w:tcW w:w="7143" w:type="dxa"/>
            <w:gridSpan w:val="3"/>
          </w:tcPr>
          <w:p w14:paraId="7A33028A" w14:textId="2344CE89" w:rsidR="003D0404" w:rsidRDefault="003D0404" w:rsidP="00942EA5">
            <w:pPr>
              <w:pStyle w:val="TableBlockOutdent"/>
              <w:rPr>
                <w:rtl/>
              </w:rPr>
            </w:pPr>
            <w:r>
              <w:rPr>
                <w:rtl/>
              </w:rPr>
              <w:t>"</w:t>
            </w:r>
            <w:r>
              <w:rPr>
                <w:rFonts w:hint="cs"/>
                <w:rtl/>
              </w:rPr>
              <w:t xml:space="preserve">בית הדין הפלילי הבין-לאומי" </w:t>
            </w:r>
            <w:r>
              <w:rPr>
                <w:rtl/>
              </w:rPr>
              <w:t>–</w:t>
            </w:r>
            <w:r>
              <w:rPr>
                <w:rFonts w:hint="cs"/>
                <w:rtl/>
              </w:rPr>
              <w:t xml:space="preserve"> בית הדין </w:t>
            </w:r>
            <w:r w:rsidR="00D87E45">
              <w:rPr>
                <w:rFonts w:hint="cs"/>
                <w:rtl/>
              </w:rPr>
              <w:t xml:space="preserve">הפלילי </w:t>
            </w:r>
            <w:r>
              <w:rPr>
                <w:rFonts w:hint="cs"/>
                <w:rtl/>
              </w:rPr>
              <w:t xml:space="preserve">הבין-לאומי </w:t>
            </w:r>
            <w:r w:rsidRPr="00D87E45">
              <w:rPr>
                <w:rFonts w:hint="eastAsia"/>
                <w:rtl/>
              </w:rPr>
              <w:t>ומוסדות</w:t>
            </w:r>
            <w:r w:rsidRPr="00D87E45">
              <w:rPr>
                <w:rtl/>
              </w:rPr>
              <w:t xml:space="preserve"> </w:t>
            </w:r>
            <w:r w:rsidRPr="00D87E45">
              <w:rPr>
                <w:rFonts w:hint="eastAsia"/>
                <w:rtl/>
              </w:rPr>
              <w:t>אחרים</w:t>
            </w:r>
            <w:r>
              <w:rPr>
                <w:rFonts w:hint="cs"/>
                <w:rtl/>
              </w:rPr>
              <w:t xml:space="preserve"> שהוקמו לפי האמנה הבין-לאומית </w:t>
            </w:r>
            <w:r>
              <w:t>Rome Statute of the International Criminal Court</w:t>
            </w:r>
            <w:r>
              <w:rPr>
                <w:rFonts w:hint="cs"/>
                <w:rtl/>
              </w:rPr>
              <w:t xml:space="preserve"> מיום 17.6.1998</w:t>
            </w:r>
            <w:r w:rsidR="00D87E45">
              <w:rPr>
                <w:rFonts w:hint="cs"/>
                <w:rtl/>
              </w:rPr>
              <w:t>;</w:t>
            </w:r>
          </w:p>
        </w:tc>
      </w:tr>
      <w:tr w:rsidR="003D0404" w14:paraId="545E1BD1" w14:textId="77777777" w:rsidTr="00942EA5">
        <w:trPr>
          <w:cantSplit/>
        </w:trPr>
        <w:tc>
          <w:tcPr>
            <w:tcW w:w="1871" w:type="dxa"/>
          </w:tcPr>
          <w:p w14:paraId="78E33C3B" w14:textId="77777777" w:rsidR="003D0404" w:rsidRDefault="003D0404" w:rsidP="007E751D">
            <w:pPr>
              <w:pStyle w:val="TableSideHeading"/>
              <w:keepLines w:val="0"/>
              <w:rPr>
                <w:rtl/>
              </w:rPr>
            </w:pPr>
          </w:p>
        </w:tc>
        <w:tc>
          <w:tcPr>
            <w:tcW w:w="624" w:type="dxa"/>
          </w:tcPr>
          <w:p w14:paraId="408AA2E3" w14:textId="77777777" w:rsidR="003D0404" w:rsidRDefault="003D0404" w:rsidP="003D0404">
            <w:pPr>
              <w:pStyle w:val="TableText"/>
              <w:rPr>
                <w:rtl/>
              </w:rPr>
            </w:pPr>
          </w:p>
        </w:tc>
        <w:tc>
          <w:tcPr>
            <w:tcW w:w="7143" w:type="dxa"/>
            <w:gridSpan w:val="3"/>
          </w:tcPr>
          <w:p w14:paraId="2197B742" w14:textId="632C38EC" w:rsidR="003D0404" w:rsidRDefault="003D0404" w:rsidP="00942EA5">
            <w:pPr>
              <w:pStyle w:val="TableBlockOutdent"/>
              <w:rPr>
                <w:rtl/>
              </w:rPr>
            </w:pPr>
            <w:r>
              <w:rPr>
                <w:rtl/>
              </w:rPr>
              <w:t>"</w:t>
            </w:r>
            <w:r w:rsidR="00D71547">
              <w:rPr>
                <w:rFonts w:hint="cs"/>
                <w:rtl/>
              </w:rPr>
              <w:t xml:space="preserve">בני בריתה של ישראל" </w:t>
            </w:r>
            <w:r w:rsidR="00D71547">
              <w:rPr>
                <w:rtl/>
              </w:rPr>
              <w:t>–</w:t>
            </w:r>
            <w:r w:rsidR="00D71547">
              <w:rPr>
                <w:rFonts w:hint="cs"/>
                <w:rtl/>
              </w:rPr>
              <w:t xml:space="preserve"> ארצות הברית של אמריקה </w:t>
            </w:r>
            <w:r w:rsidR="005072AD">
              <w:rPr>
                <w:rFonts w:hint="cs"/>
                <w:rtl/>
              </w:rPr>
              <w:t xml:space="preserve">או </w:t>
            </w:r>
            <w:r w:rsidR="00D71547">
              <w:rPr>
                <w:rFonts w:hint="cs"/>
                <w:rtl/>
              </w:rPr>
              <w:t>מדינה או ישות בין-לאומית אחרת שקבע שר המשפטים בצו</w:t>
            </w:r>
            <w:r w:rsidR="005072AD">
              <w:rPr>
                <w:rFonts w:hint="cs"/>
                <w:rtl/>
              </w:rPr>
              <w:t>;</w:t>
            </w:r>
          </w:p>
        </w:tc>
      </w:tr>
      <w:tr w:rsidR="00D71547" w14:paraId="767C4288" w14:textId="77777777" w:rsidTr="00942EA5">
        <w:trPr>
          <w:cantSplit/>
        </w:trPr>
        <w:tc>
          <w:tcPr>
            <w:tcW w:w="1871" w:type="dxa"/>
          </w:tcPr>
          <w:p w14:paraId="79EAF33F" w14:textId="77777777" w:rsidR="00D71547" w:rsidRDefault="00D71547" w:rsidP="007E751D">
            <w:pPr>
              <w:pStyle w:val="TableSideHeading"/>
              <w:keepLines w:val="0"/>
              <w:rPr>
                <w:rtl/>
              </w:rPr>
            </w:pPr>
          </w:p>
        </w:tc>
        <w:tc>
          <w:tcPr>
            <w:tcW w:w="624" w:type="dxa"/>
          </w:tcPr>
          <w:p w14:paraId="4582BB9C" w14:textId="77777777" w:rsidR="00D71547" w:rsidRDefault="00D71547" w:rsidP="003D0404">
            <w:pPr>
              <w:pStyle w:val="TableText"/>
              <w:rPr>
                <w:rtl/>
              </w:rPr>
            </w:pPr>
          </w:p>
        </w:tc>
        <w:tc>
          <w:tcPr>
            <w:tcW w:w="7143" w:type="dxa"/>
            <w:gridSpan w:val="3"/>
          </w:tcPr>
          <w:p w14:paraId="43643619" w14:textId="36074053" w:rsidR="00D71547" w:rsidRDefault="00D71547" w:rsidP="00942EA5">
            <w:pPr>
              <w:pStyle w:val="TableBlockOutdent"/>
              <w:rPr>
                <w:rtl/>
              </w:rPr>
            </w:pPr>
            <w:r w:rsidRPr="00692B95">
              <w:rPr>
                <w:rtl/>
              </w:rPr>
              <w:t>"</w:t>
            </w:r>
            <w:r w:rsidRPr="00692B95">
              <w:rPr>
                <w:rFonts w:hint="cs"/>
                <w:rtl/>
              </w:rPr>
              <w:t xml:space="preserve">הליך נגד מדינת ישראל" </w:t>
            </w:r>
            <w:r w:rsidRPr="00692B95">
              <w:rPr>
                <w:rtl/>
              </w:rPr>
              <w:t>–</w:t>
            </w:r>
            <w:r w:rsidRPr="00692B95">
              <w:rPr>
                <w:rFonts w:hint="cs"/>
                <w:rtl/>
              </w:rPr>
              <w:t xml:space="preserve"> </w:t>
            </w:r>
            <w:r w:rsidR="005072AD" w:rsidRPr="00692B95">
              <w:rPr>
                <w:rFonts w:hint="cs"/>
                <w:rtl/>
              </w:rPr>
              <w:t xml:space="preserve">חקירה, הליך מקדמי או הליך מסוג כלשהו המתנהלים במוסד בין-לאומי עוין </w:t>
            </w:r>
            <w:r w:rsidR="00133CA7" w:rsidRPr="00692B95">
              <w:rPr>
                <w:rFonts w:hint="cs"/>
                <w:rtl/>
              </w:rPr>
              <w:t>נגד</w:t>
            </w:r>
            <w:r w:rsidR="005072AD" w:rsidRPr="00692B95">
              <w:rPr>
                <w:rFonts w:hint="cs"/>
                <w:rtl/>
              </w:rPr>
              <w:t xml:space="preserve"> אחד מאלה:</w:t>
            </w:r>
          </w:p>
        </w:tc>
      </w:tr>
      <w:tr w:rsidR="005072AD" w14:paraId="1ED679FE" w14:textId="77777777" w:rsidTr="00942EA5">
        <w:trPr>
          <w:cantSplit/>
        </w:trPr>
        <w:tc>
          <w:tcPr>
            <w:tcW w:w="1871" w:type="dxa"/>
          </w:tcPr>
          <w:p w14:paraId="5C7A0C58" w14:textId="77777777" w:rsidR="005072AD" w:rsidRDefault="005072AD" w:rsidP="007E751D">
            <w:pPr>
              <w:pStyle w:val="TableSideHeading"/>
              <w:keepLines w:val="0"/>
              <w:rPr>
                <w:rtl/>
              </w:rPr>
            </w:pPr>
          </w:p>
        </w:tc>
        <w:tc>
          <w:tcPr>
            <w:tcW w:w="624" w:type="dxa"/>
          </w:tcPr>
          <w:p w14:paraId="51387C23" w14:textId="77777777" w:rsidR="005072AD" w:rsidRDefault="005072AD" w:rsidP="00091174">
            <w:pPr>
              <w:pStyle w:val="TableText"/>
              <w:rPr>
                <w:rtl/>
              </w:rPr>
            </w:pPr>
          </w:p>
        </w:tc>
        <w:tc>
          <w:tcPr>
            <w:tcW w:w="7143" w:type="dxa"/>
            <w:gridSpan w:val="3"/>
          </w:tcPr>
          <w:p w14:paraId="7EFF2FB7" w14:textId="058BE31B" w:rsidR="005072AD" w:rsidRPr="005072AD" w:rsidRDefault="005072AD" w:rsidP="00942EA5">
            <w:pPr>
              <w:pStyle w:val="TableBlock"/>
              <w:rPr>
                <w:rtl/>
              </w:rPr>
            </w:pPr>
            <w:r>
              <w:rPr>
                <w:rFonts w:hint="cs"/>
                <w:rtl/>
              </w:rPr>
              <w:t>(1)</w:t>
            </w:r>
            <w:r>
              <w:rPr>
                <w:rtl/>
              </w:rPr>
              <w:tab/>
            </w:r>
            <w:r>
              <w:rPr>
                <w:rFonts w:hint="cs"/>
                <w:rtl/>
              </w:rPr>
              <w:t>אזרח או תושב קבע של ישראל בגין מעשה או מחדל שעשה בשטח מדינת ישראל או בשטח הנתון לשליטתה, ובכלל זה אזור יהודה ושומרון;</w:t>
            </w:r>
          </w:p>
        </w:tc>
      </w:tr>
      <w:tr w:rsidR="005072AD" w14:paraId="430AD04A" w14:textId="77777777" w:rsidTr="00942EA5">
        <w:trPr>
          <w:cantSplit/>
        </w:trPr>
        <w:tc>
          <w:tcPr>
            <w:tcW w:w="1871" w:type="dxa"/>
          </w:tcPr>
          <w:p w14:paraId="51E4F1D2" w14:textId="77777777" w:rsidR="005072AD" w:rsidRDefault="005072AD" w:rsidP="007E751D">
            <w:pPr>
              <w:pStyle w:val="TableSideHeading"/>
              <w:keepLines w:val="0"/>
              <w:rPr>
                <w:rtl/>
              </w:rPr>
            </w:pPr>
          </w:p>
        </w:tc>
        <w:tc>
          <w:tcPr>
            <w:tcW w:w="624" w:type="dxa"/>
          </w:tcPr>
          <w:p w14:paraId="571DE652" w14:textId="77777777" w:rsidR="005072AD" w:rsidRDefault="005072AD" w:rsidP="00091174">
            <w:pPr>
              <w:pStyle w:val="TableText"/>
              <w:rPr>
                <w:rtl/>
              </w:rPr>
            </w:pPr>
          </w:p>
        </w:tc>
        <w:tc>
          <w:tcPr>
            <w:tcW w:w="7143" w:type="dxa"/>
            <w:gridSpan w:val="3"/>
          </w:tcPr>
          <w:p w14:paraId="3119BA3F" w14:textId="0DBD8993" w:rsidR="005072AD" w:rsidRDefault="005072AD" w:rsidP="00942EA5">
            <w:pPr>
              <w:pStyle w:val="TableBlock"/>
              <w:rPr>
                <w:rtl/>
              </w:rPr>
            </w:pPr>
            <w:r>
              <w:rPr>
                <w:rFonts w:hint="cs"/>
                <w:rtl/>
              </w:rPr>
              <w:t>(2)</w:t>
            </w:r>
            <w:r>
              <w:rPr>
                <w:rtl/>
              </w:rPr>
              <w:tab/>
            </w:r>
            <w:r>
              <w:rPr>
                <w:rFonts w:hint="cs"/>
                <w:rtl/>
              </w:rPr>
              <w:t>כוחות הביטחון או נגד משרת כוחות הביטחון;</w:t>
            </w:r>
          </w:p>
        </w:tc>
      </w:tr>
      <w:tr w:rsidR="005072AD" w14:paraId="62B85414" w14:textId="77777777" w:rsidTr="00942EA5">
        <w:trPr>
          <w:cantSplit/>
        </w:trPr>
        <w:tc>
          <w:tcPr>
            <w:tcW w:w="1871" w:type="dxa"/>
          </w:tcPr>
          <w:p w14:paraId="7F6C2F96" w14:textId="77777777" w:rsidR="005072AD" w:rsidRDefault="005072AD" w:rsidP="007E751D">
            <w:pPr>
              <w:pStyle w:val="TableSideHeading"/>
              <w:keepLines w:val="0"/>
              <w:rPr>
                <w:rtl/>
              </w:rPr>
            </w:pPr>
          </w:p>
        </w:tc>
        <w:tc>
          <w:tcPr>
            <w:tcW w:w="624" w:type="dxa"/>
          </w:tcPr>
          <w:p w14:paraId="746A9017" w14:textId="77777777" w:rsidR="005072AD" w:rsidRDefault="005072AD" w:rsidP="00091174">
            <w:pPr>
              <w:pStyle w:val="TableText"/>
              <w:rPr>
                <w:rtl/>
              </w:rPr>
            </w:pPr>
          </w:p>
        </w:tc>
        <w:tc>
          <w:tcPr>
            <w:tcW w:w="7143" w:type="dxa"/>
            <w:gridSpan w:val="3"/>
          </w:tcPr>
          <w:p w14:paraId="3726B346" w14:textId="39C4DF4A" w:rsidR="005072AD" w:rsidRDefault="005072AD" w:rsidP="00942EA5">
            <w:pPr>
              <w:pStyle w:val="TableBlockOutdent"/>
              <w:rPr>
                <w:rtl/>
              </w:rPr>
            </w:pPr>
            <w:r>
              <w:rPr>
                <w:rFonts w:hint="cs"/>
                <w:rtl/>
              </w:rPr>
              <w:t>(3)</w:t>
            </w:r>
            <w:r>
              <w:rPr>
                <w:rtl/>
              </w:rPr>
              <w:tab/>
            </w:r>
            <w:r>
              <w:rPr>
                <w:rFonts w:hint="cs"/>
                <w:rtl/>
              </w:rPr>
              <w:t>מי שפעל מטעם מדינת ישראל או רשות מרשויותיה, לרבות רשות מקומית;</w:t>
            </w:r>
          </w:p>
        </w:tc>
      </w:tr>
      <w:tr w:rsidR="005072AD" w14:paraId="75E0F808" w14:textId="77777777" w:rsidTr="00942EA5">
        <w:trPr>
          <w:cantSplit/>
        </w:trPr>
        <w:tc>
          <w:tcPr>
            <w:tcW w:w="1871" w:type="dxa"/>
          </w:tcPr>
          <w:p w14:paraId="7816199B" w14:textId="77777777" w:rsidR="005072AD" w:rsidRDefault="005072AD" w:rsidP="007E751D">
            <w:pPr>
              <w:pStyle w:val="TableSideHeading"/>
              <w:keepLines w:val="0"/>
              <w:rPr>
                <w:rtl/>
              </w:rPr>
            </w:pPr>
          </w:p>
        </w:tc>
        <w:tc>
          <w:tcPr>
            <w:tcW w:w="624" w:type="dxa"/>
          </w:tcPr>
          <w:p w14:paraId="02E145A0" w14:textId="77777777" w:rsidR="005072AD" w:rsidRDefault="005072AD" w:rsidP="00091174">
            <w:pPr>
              <w:pStyle w:val="TableText"/>
              <w:rPr>
                <w:rtl/>
              </w:rPr>
            </w:pPr>
          </w:p>
        </w:tc>
        <w:tc>
          <w:tcPr>
            <w:tcW w:w="7143" w:type="dxa"/>
            <w:gridSpan w:val="3"/>
          </w:tcPr>
          <w:p w14:paraId="1738B769" w14:textId="2EB80D8D" w:rsidR="005072AD" w:rsidRPr="005072AD" w:rsidRDefault="005072AD" w:rsidP="00942EA5">
            <w:pPr>
              <w:pStyle w:val="TableBlock"/>
              <w:rPr>
                <w:rtl/>
              </w:rPr>
            </w:pPr>
            <w:r>
              <w:rPr>
                <w:rFonts w:hint="cs"/>
                <w:rtl/>
              </w:rPr>
              <w:t>(4)</w:t>
            </w:r>
            <w:r>
              <w:rPr>
                <w:rtl/>
              </w:rPr>
              <w:tab/>
            </w:r>
            <w:r>
              <w:rPr>
                <w:rFonts w:hint="cs"/>
                <w:rtl/>
              </w:rPr>
              <w:t>בני בריתה של ישראל</w:t>
            </w:r>
            <w:r w:rsidR="00133CA7">
              <w:rPr>
                <w:rFonts w:hint="cs"/>
                <w:rtl/>
              </w:rPr>
              <w:t>;</w:t>
            </w:r>
          </w:p>
        </w:tc>
      </w:tr>
      <w:tr w:rsidR="00D472BE" w14:paraId="1919882A" w14:textId="77777777" w:rsidTr="00942EA5">
        <w:trPr>
          <w:cantSplit/>
        </w:trPr>
        <w:tc>
          <w:tcPr>
            <w:tcW w:w="1871" w:type="dxa"/>
          </w:tcPr>
          <w:p w14:paraId="3C53399E" w14:textId="77777777" w:rsidR="00D472BE" w:rsidRDefault="00D472BE" w:rsidP="007E751D">
            <w:pPr>
              <w:pStyle w:val="TableSideHeading"/>
              <w:keepLines w:val="0"/>
              <w:rPr>
                <w:rtl/>
              </w:rPr>
            </w:pPr>
          </w:p>
        </w:tc>
        <w:tc>
          <w:tcPr>
            <w:tcW w:w="624" w:type="dxa"/>
          </w:tcPr>
          <w:p w14:paraId="5FD63EB5" w14:textId="77777777" w:rsidR="00D472BE" w:rsidRDefault="00D472BE" w:rsidP="003D0404">
            <w:pPr>
              <w:pStyle w:val="TableText"/>
              <w:rPr>
                <w:rtl/>
              </w:rPr>
            </w:pPr>
          </w:p>
        </w:tc>
        <w:tc>
          <w:tcPr>
            <w:tcW w:w="7143" w:type="dxa"/>
            <w:gridSpan w:val="3"/>
          </w:tcPr>
          <w:p w14:paraId="39309D91" w14:textId="3A4355DB" w:rsidR="00D472BE" w:rsidRDefault="00D472BE" w:rsidP="00942EA5">
            <w:pPr>
              <w:pStyle w:val="TableBlockOutdent"/>
              <w:rPr>
                <w:rtl/>
              </w:rPr>
            </w:pPr>
            <w:r>
              <w:rPr>
                <w:rtl/>
              </w:rPr>
              <w:t>"</w:t>
            </w:r>
            <w:r>
              <w:rPr>
                <w:rFonts w:hint="cs"/>
                <w:rtl/>
              </w:rPr>
              <w:t xml:space="preserve">כוחות הביטחון" </w:t>
            </w:r>
            <w:r>
              <w:rPr>
                <w:rtl/>
              </w:rPr>
              <w:t>–</w:t>
            </w:r>
            <w:r>
              <w:rPr>
                <w:rFonts w:hint="cs"/>
                <w:rtl/>
              </w:rPr>
              <w:t xml:space="preserve"> צבא הגנה לישראל, שירות הביטחון הכללי, המוסד למודיעין ולתפקידים מיוחדים, משטרת ישראל, שירות בתי הסוהר, </w:t>
            </w:r>
            <w:r w:rsidR="00133CA7">
              <w:rPr>
                <w:rFonts w:hint="cs"/>
                <w:rtl/>
              </w:rPr>
              <w:t xml:space="preserve">או </w:t>
            </w:r>
            <w:r>
              <w:rPr>
                <w:rFonts w:hint="cs"/>
                <w:rtl/>
              </w:rPr>
              <w:t xml:space="preserve"> גוף אחר העוסק בעקיפין או במישרין בביטחון מדינת ישראל או </w:t>
            </w:r>
            <w:r w:rsidR="00133CA7">
              <w:rPr>
                <w:rFonts w:hint="cs"/>
                <w:rtl/>
              </w:rPr>
              <w:t>ב</w:t>
            </w:r>
            <w:r>
              <w:rPr>
                <w:rFonts w:hint="cs"/>
                <w:rtl/>
              </w:rPr>
              <w:t>הגנת תושביה, שקבע שר המשפטים בצו;</w:t>
            </w:r>
          </w:p>
        </w:tc>
      </w:tr>
      <w:tr w:rsidR="00D472BE" w14:paraId="60D66413" w14:textId="77777777" w:rsidTr="00942EA5">
        <w:trPr>
          <w:cantSplit/>
        </w:trPr>
        <w:tc>
          <w:tcPr>
            <w:tcW w:w="1871" w:type="dxa"/>
          </w:tcPr>
          <w:p w14:paraId="28452EF9" w14:textId="77777777" w:rsidR="00D472BE" w:rsidRDefault="00D472BE" w:rsidP="007E751D">
            <w:pPr>
              <w:pStyle w:val="TableSideHeading"/>
              <w:keepLines w:val="0"/>
              <w:rPr>
                <w:rtl/>
              </w:rPr>
            </w:pPr>
          </w:p>
        </w:tc>
        <w:tc>
          <w:tcPr>
            <w:tcW w:w="624" w:type="dxa"/>
          </w:tcPr>
          <w:p w14:paraId="0127BE5C" w14:textId="77777777" w:rsidR="00D472BE" w:rsidRDefault="00D472BE" w:rsidP="003D0404">
            <w:pPr>
              <w:pStyle w:val="TableText"/>
              <w:rPr>
                <w:rtl/>
              </w:rPr>
            </w:pPr>
          </w:p>
        </w:tc>
        <w:tc>
          <w:tcPr>
            <w:tcW w:w="7143" w:type="dxa"/>
            <w:gridSpan w:val="3"/>
          </w:tcPr>
          <w:p w14:paraId="6CBE6FDD" w14:textId="44418129" w:rsidR="00D472BE" w:rsidRDefault="00D472BE" w:rsidP="00942EA5">
            <w:pPr>
              <w:pStyle w:val="TableBlockOutdent"/>
              <w:rPr>
                <w:rtl/>
              </w:rPr>
            </w:pPr>
            <w:r>
              <w:rPr>
                <w:rtl/>
              </w:rPr>
              <w:t>"</w:t>
            </w:r>
            <w:r>
              <w:rPr>
                <w:rFonts w:hint="cs"/>
                <w:rtl/>
              </w:rPr>
              <w:t xml:space="preserve">מוסד בין-לאומי עוין" </w:t>
            </w:r>
            <w:r>
              <w:rPr>
                <w:rtl/>
              </w:rPr>
              <w:t>–</w:t>
            </w:r>
            <w:r>
              <w:rPr>
                <w:rFonts w:hint="cs"/>
                <w:rtl/>
              </w:rPr>
              <w:t xml:space="preserve"> בית הדין הפלילי הבין-לאומי או מוסד בין-לאומי אחר שקבע שר המשפטים בצו </w:t>
            </w:r>
            <w:r w:rsidR="00133CA7">
              <w:rPr>
                <w:rFonts w:hint="cs"/>
                <w:rtl/>
              </w:rPr>
              <w:t xml:space="preserve">בהתייעצות </w:t>
            </w:r>
            <w:r>
              <w:rPr>
                <w:rFonts w:hint="cs"/>
                <w:rtl/>
              </w:rPr>
              <w:t>עם ועדת החוץ והביטחון של הכנסת;</w:t>
            </w:r>
          </w:p>
        </w:tc>
      </w:tr>
      <w:tr w:rsidR="00D472BE" w14:paraId="3216DD9D" w14:textId="77777777" w:rsidTr="00942EA5">
        <w:trPr>
          <w:cantSplit/>
        </w:trPr>
        <w:tc>
          <w:tcPr>
            <w:tcW w:w="1871" w:type="dxa"/>
          </w:tcPr>
          <w:p w14:paraId="486A591D" w14:textId="77777777" w:rsidR="00D472BE" w:rsidRDefault="00D472BE" w:rsidP="007E751D">
            <w:pPr>
              <w:pStyle w:val="TableSideHeading"/>
              <w:keepLines w:val="0"/>
              <w:rPr>
                <w:rtl/>
              </w:rPr>
            </w:pPr>
          </w:p>
        </w:tc>
        <w:tc>
          <w:tcPr>
            <w:tcW w:w="624" w:type="dxa"/>
          </w:tcPr>
          <w:p w14:paraId="32E99217" w14:textId="77777777" w:rsidR="00D472BE" w:rsidRDefault="00D472BE" w:rsidP="003D0404">
            <w:pPr>
              <w:pStyle w:val="TableText"/>
              <w:rPr>
                <w:rtl/>
              </w:rPr>
            </w:pPr>
          </w:p>
        </w:tc>
        <w:tc>
          <w:tcPr>
            <w:tcW w:w="7143" w:type="dxa"/>
            <w:gridSpan w:val="3"/>
          </w:tcPr>
          <w:p w14:paraId="45964D0E" w14:textId="2004CA21" w:rsidR="00D472BE" w:rsidRDefault="00D472BE" w:rsidP="00942EA5">
            <w:pPr>
              <w:pStyle w:val="TableBlockOutdent"/>
              <w:rPr>
                <w:rtl/>
              </w:rPr>
            </w:pPr>
            <w:r>
              <w:rPr>
                <w:rtl/>
              </w:rPr>
              <w:t>"</w:t>
            </w:r>
            <w:r>
              <w:rPr>
                <w:rFonts w:hint="cs"/>
                <w:rtl/>
              </w:rPr>
              <w:t xml:space="preserve">משרת כוחות הביטחון" </w:t>
            </w:r>
            <w:r>
              <w:rPr>
                <w:rtl/>
              </w:rPr>
              <w:t>–</w:t>
            </w:r>
            <w:r>
              <w:rPr>
                <w:rFonts w:hint="cs"/>
                <w:rtl/>
              </w:rPr>
              <w:t xml:space="preserve"> אדם שפעל או פועל מכוח הנחיה, פקודה או הוראה שניתנה מטעם אחד או יותר מכוחות הביטחון, או אדם שנתן הנחיה, פקודה או הוראה לכוחות </w:t>
            </w:r>
            <w:r w:rsidR="004631DC">
              <w:rPr>
                <w:rFonts w:hint="cs"/>
                <w:rtl/>
              </w:rPr>
              <w:t>הביטחון מכוח סמכות לפי דין</w:t>
            </w:r>
            <w:r w:rsidR="00133CA7">
              <w:rPr>
                <w:rFonts w:hint="cs"/>
                <w:rtl/>
              </w:rPr>
              <w:t>.</w:t>
            </w:r>
          </w:p>
        </w:tc>
      </w:tr>
      <w:tr w:rsidR="000F434D" w14:paraId="767886A1" w14:textId="77777777" w:rsidTr="00942EA5">
        <w:trPr>
          <w:cantSplit/>
        </w:trPr>
        <w:tc>
          <w:tcPr>
            <w:tcW w:w="1871" w:type="dxa"/>
          </w:tcPr>
          <w:p w14:paraId="79787A2E" w14:textId="0E7B9FB2" w:rsidR="000F434D" w:rsidRDefault="000F434D" w:rsidP="002C3041">
            <w:pPr>
              <w:pStyle w:val="TableSideHeading"/>
              <w:keepLines w:val="0"/>
            </w:pPr>
            <w:r>
              <w:rPr>
                <w:rFonts w:hint="cs"/>
                <w:rtl/>
              </w:rPr>
              <w:t>הגנה על משרתי כוחות הביטחון ועל ישראלים</w:t>
            </w:r>
          </w:p>
        </w:tc>
        <w:tc>
          <w:tcPr>
            <w:tcW w:w="624" w:type="dxa"/>
          </w:tcPr>
          <w:p w14:paraId="1DF43DA9" w14:textId="13D900BB" w:rsidR="000F434D" w:rsidRPr="000F434D" w:rsidRDefault="000F434D" w:rsidP="002C3041">
            <w:pPr>
              <w:pStyle w:val="TableText"/>
              <w:keepLines w:val="0"/>
            </w:pPr>
            <w:r>
              <w:rPr>
                <w:rFonts w:hint="cs"/>
                <w:rtl/>
              </w:rPr>
              <w:t>3.</w:t>
            </w:r>
          </w:p>
        </w:tc>
        <w:tc>
          <w:tcPr>
            <w:tcW w:w="7143" w:type="dxa"/>
            <w:gridSpan w:val="3"/>
          </w:tcPr>
          <w:p w14:paraId="3DEE351E" w14:textId="2E215B85" w:rsidR="000F434D" w:rsidRDefault="000F434D" w:rsidP="00942EA5">
            <w:pPr>
              <w:pStyle w:val="TableBlock"/>
              <w:numPr>
                <w:ilvl w:val="0"/>
                <w:numId w:val="17"/>
              </w:numPr>
              <w:tabs>
                <w:tab w:val="left" w:pos="624"/>
              </w:tabs>
              <w:rPr>
                <w:rtl/>
              </w:rPr>
            </w:pPr>
            <w:r>
              <w:rPr>
                <w:rFonts w:hint="cs"/>
                <w:rtl/>
              </w:rPr>
              <w:t>רשות מרשויות השלטון בישראל או גוף הפועל מטעמה לא יקיימו כל קשר ישיר או עקיף, ביוזמתן או שלא ביוזמתן, עם מוסד בין-לאומי עוין או עם מי שפועל מטעמו, אלא לפי החלטה של הממשלה ובדרך שתקבע.</w:t>
            </w:r>
          </w:p>
        </w:tc>
      </w:tr>
      <w:tr w:rsidR="002F1D80" w14:paraId="3D9B61D1" w14:textId="77777777" w:rsidTr="00942EA5">
        <w:trPr>
          <w:cantSplit/>
        </w:trPr>
        <w:tc>
          <w:tcPr>
            <w:tcW w:w="1871" w:type="dxa"/>
          </w:tcPr>
          <w:p w14:paraId="6C0CB9D8" w14:textId="2F7EF056" w:rsidR="002F1D80" w:rsidRDefault="002F1D80" w:rsidP="002C3041">
            <w:pPr>
              <w:pStyle w:val="TableSideHeading"/>
              <w:keepLines w:val="0"/>
            </w:pPr>
          </w:p>
        </w:tc>
        <w:tc>
          <w:tcPr>
            <w:tcW w:w="624" w:type="dxa"/>
          </w:tcPr>
          <w:p w14:paraId="3F4286A2" w14:textId="77777777" w:rsidR="002F1D80" w:rsidRDefault="002F1D80" w:rsidP="002C3041">
            <w:pPr>
              <w:pStyle w:val="TableText"/>
              <w:keepLines w:val="0"/>
            </w:pPr>
          </w:p>
        </w:tc>
        <w:tc>
          <w:tcPr>
            <w:tcW w:w="7143" w:type="dxa"/>
            <w:gridSpan w:val="3"/>
          </w:tcPr>
          <w:p w14:paraId="7633D5BB" w14:textId="72CB0B5C" w:rsidR="002F1D80" w:rsidRPr="00C34DE2" w:rsidRDefault="004631DC" w:rsidP="00942EA5">
            <w:pPr>
              <w:pStyle w:val="TableBlock"/>
              <w:numPr>
                <w:ilvl w:val="0"/>
                <w:numId w:val="17"/>
              </w:numPr>
              <w:tabs>
                <w:tab w:val="left" w:pos="624"/>
              </w:tabs>
            </w:pPr>
            <w:r>
              <w:rPr>
                <w:rFonts w:hint="cs"/>
                <w:rtl/>
              </w:rPr>
              <w:t>אין באמור בסעיף קטן (א) כדי לגרוע מסמכויות המוקנות לצורך הליך שיפוטי לשופט כהגדרתו בחוק נציב תלונות הציבור על שופטים, התשס"ב</w:t>
            </w:r>
            <w:r w:rsidR="00133CA7">
              <w:rPr>
                <w:rFonts w:hint="eastAsia"/>
                <w:rtl/>
              </w:rPr>
              <w:t>–</w:t>
            </w:r>
            <w:r>
              <w:rPr>
                <w:rFonts w:hint="cs"/>
                <w:rtl/>
              </w:rPr>
              <w:t>2002</w:t>
            </w:r>
            <w:r w:rsidRPr="00942EA5">
              <w:rPr>
                <w:rStyle w:val="a5"/>
                <w:rFonts w:ascii="David" w:hAnsi="David"/>
                <w:sz w:val="26"/>
                <w:rtl/>
              </w:rPr>
              <w:footnoteReference w:id="2"/>
            </w:r>
            <w:r w:rsidR="008002D0">
              <w:rPr>
                <w:rFonts w:hint="cs"/>
                <w:rtl/>
              </w:rPr>
              <w:t>.</w:t>
            </w:r>
          </w:p>
        </w:tc>
      </w:tr>
      <w:tr w:rsidR="008002D0" w14:paraId="7263C674" w14:textId="77777777" w:rsidTr="00942EA5">
        <w:trPr>
          <w:cantSplit/>
        </w:trPr>
        <w:tc>
          <w:tcPr>
            <w:tcW w:w="1871" w:type="dxa"/>
          </w:tcPr>
          <w:p w14:paraId="7259FD10" w14:textId="77777777" w:rsidR="008002D0" w:rsidRDefault="008002D0" w:rsidP="002C3041">
            <w:pPr>
              <w:pStyle w:val="TableSideHeading"/>
              <w:keepLines w:val="0"/>
            </w:pPr>
          </w:p>
        </w:tc>
        <w:tc>
          <w:tcPr>
            <w:tcW w:w="624" w:type="dxa"/>
          </w:tcPr>
          <w:p w14:paraId="014E329F" w14:textId="77777777" w:rsidR="008002D0" w:rsidRDefault="008002D0" w:rsidP="008002D0">
            <w:pPr>
              <w:pStyle w:val="TableText"/>
            </w:pPr>
          </w:p>
        </w:tc>
        <w:tc>
          <w:tcPr>
            <w:tcW w:w="7143" w:type="dxa"/>
            <w:gridSpan w:val="3"/>
          </w:tcPr>
          <w:p w14:paraId="2FF8AF24" w14:textId="5233E836" w:rsidR="008002D0" w:rsidRDefault="008002D0" w:rsidP="00942EA5">
            <w:pPr>
              <w:pStyle w:val="TableBlock"/>
              <w:numPr>
                <w:ilvl w:val="0"/>
                <w:numId w:val="17"/>
              </w:numPr>
              <w:tabs>
                <w:tab w:val="left" w:pos="624"/>
              </w:tabs>
              <w:rPr>
                <w:rtl/>
              </w:rPr>
            </w:pPr>
            <w:r>
              <w:rPr>
                <w:rFonts w:hint="cs"/>
                <w:rtl/>
              </w:rPr>
              <w:t>הממשלה מוסמכת להשתמש בכל אמצעי שנראה לה נחוץ כדי להביא לשחרורו של אזרח או תושב ישראל המוחזק על ידי כל גורם בקשר להליך נגד מדינת ישראל.</w:t>
            </w:r>
          </w:p>
        </w:tc>
      </w:tr>
      <w:tr w:rsidR="008002D0" w14:paraId="7D37E6EB" w14:textId="77777777" w:rsidTr="00942EA5">
        <w:trPr>
          <w:cantSplit/>
        </w:trPr>
        <w:tc>
          <w:tcPr>
            <w:tcW w:w="1871" w:type="dxa"/>
          </w:tcPr>
          <w:p w14:paraId="6EDB3530" w14:textId="77777777" w:rsidR="008002D0" w:rsidRDefault="008002D0" w:rsidP="002C3041">
            <w:pPr>
              <w:pStyle w:val="TableSideHeading"/>
              <w:keepLines w:val="0"/>
              <w:rPr>
                <w:rtl/>
              </w:rPr>
            </w:pPr>
          </w:p>
        </w:tc>
        <w:tc>
          <w:tcPr>
            <w:tcW w:w="624" w:type="dxa"/>
          </w:tcPr>
          <w:p w14:paraId="6A9463E0" w14:textId="77777777" w:rsidR="008002D0" w:rsidRDefault="008002D0" w:rsidP="008002D0">
            <w:pPr>
              <w:pStyle w:val="TableText"/>
            </w:pPr>
          </w:p>
        </w:tc>
        <w:tc>
          <w:tcPr>
            <w:tcW w:w="7143" w:type="dxa"/>
            <w:gridSpan w:val="3"/>
          </w:tcPr>
          <w:p w14:paraId="59C888E0" w14:textId="733F5705" w:rsidR="008002D0" w:rsidRDefault="008002D0" w:rsidP="00942EA5">
            <w:pPr>
              <w:pStyle w:val="TableBlock"/>
              <w:numPr>
                <w:ilvl w:val="0"/>
                <w:numId w:val="17"/>
              </w:numPr>
              <w:tabs>
                <w:tab w:val="left" w:pos="624"/>
              </w:tabs>
              <w:rPr>
                <w:rtl/>
              </w:rPr>
            </w:pPr>
            <w:r w:rsidRPr="00692B95">
              <w:rPr>
                <w:rtl/>
              </w:rPr>
              <w:t>רשות בישראל לא תקיים כל שיתוף פעולה עם מדינה שנודע כי היא מסייעת</w:t>
            </w:r>
            <w:r w:rsidR="00091174" w:rsidRPr="00692B95">
              <w:rPr>
                <w:rFonts w:hint="cs"/>
                <w:rtl/>
              </w:rPr>
              <w:t xml:space="preserve"> ב</w:t>
            </w:r>
            <w:r w:rsidR="003E6B7E" w:rsidRPr="00692B95">
              <w:rPr>
                <w:rFonts w:hint="cs"/>
                <w:rtl/>
              </w:rPr>
              <w:t xml:space="preserve">מתן </w:t>
            </w:r>
            <w:r w:rsidR="00091174" w:rsidRPr="00692B95">
              <w:rPr>
                <w:rFonts w:hint="cs"/>
                <w:rtl/>
              </w:rPr>
              <w:t>מידע</w:t>
            </w:r>
            <w:r w:rsidRPr="00692B95">
              <w:rPr>
                <w:rtl/>
              </w:rPr>
              <w:t xml:space="preserve"> להליך נגד מדינת ישראל, לרבות הסכמי סחר, בריתות צבאיות ושיתוף פעולה מודיעיני, ואם היה קיים שיתוף פעולה כאמור – תשעה אותו הרשות לאלתר;</w:t>
            </w:r>
          </w:p>
        </w:tc>
      </w:tr>
      <w:tr w:rsidR="008002D0" w14:paraId="3BE305E0" w14:textId="77777777" w:rsidTr="00942EA5">
        <w:trPr>
          <w:cantSplit/>
        </w:trPr>
        <w:tc>
          <w:tcPr>
            <w:tcW w:w="1871" w:type="dxa"/>
          </w:tcPr>
          <w:p w14:paraId="2378BC1C" w14:textId="77777777" w:rsidR="008002D0" w:rsidRDefault="008002D0" w:rsidP="002C3041">
            <w:pPr>
              <w:pStyle w:val="TableSideHeading"/>
              <w:keepLines w:val="0"/>
              <w:rPr>
                <w:rtl/>
              </w:rPr>
            </w:pPr>
          </w:p>
        </w:tc>
        <w:tc>
          <w:tcPr>
            <w:tcW w:w="624" w:type="dxa"/>
          </w:tcPr>
          <w:p w14:paraId="69D53F95" w14:textId="77777777" w:rsidR="008002D0" w:rsidRDefault="008002D0" w:rsidP="008002D0">
            <w:pPr>
              <w:pStyle w:val="TableText"/>
            </w:pPr>
          </w:p>
        </w:tc>
        <w:tc>
          <w:tcPr>
            <w:tcW w:w="7143" w:type="dxa"/>
            <w:gridSpan w:val="3"/>
          </w:tcPr>
          <w:p w14:paraId="34F526EC" w14:textId="2CBC5C82" w:rsidR="008002D0" w:rsidRPr="008002D0" w:rsidRDefault="008002D0" w:rsidP="00942EA5">
            <w:pPr>
              <w:pStyle w:val="TableBlock"/>
              <w:numPr>
                <w:ilvl w:val="0"/>
                <w:numId w:val="17"/>
              </w:numPr>
              <w:tabs>
                <w:tab w:val="left" w:pos="624"/>
              </w:tabs>
              <w:rPr>
                <w:rtl/>
              </w:rPr>
            </w:pPr>
            <w:r w:rsidRPr="008002D0">
              <w:rPr>
                <w:rtl/>
              </w:rPr>
              <w:t>על אף האמור בסעיף</w:t>
            </w:r>
            <w:r w:rsidR="00143C44">
              <w:rPr>
                <w:rFonts w:hint="cs"/>
                <w:rtl/>
              </w:rPr>
              <w:t xml:space="preserve"> </w:t>
            </w:r>
            <w:r w:rsidRPr="008002D0">
              <w:rPr>
                <w:rtl/>
              </w:rPr>
              <w:t>קטן (ד), הממשלה רשאית לאשר את המשכו של שיתוף פעולה כאמור, למשך שלושה חודשים בכל פעם, מנימוקים שירשמו ויוצגו בפני הכנסת או בפני ועדת החוץ</w:t>
            </w:r>
            <w:r w:rsidR="00143C44">
              <w:rPr>
                <w:rFonts w:hint="cs"/>
                <w:rtl/>
              </w:rPr>
              <w:t xml:space="preserve"> </w:t>
            </w:r>
            <w:r w:rsidRPr="008002D0">
              <w:rPr>
                <w:rtl/>
              </w:rPr>
              <w:t>והביטחון של הכנסת בתוך שבוע ימים מיום שניתן האישור.</w:t>
            </w:r>
          </w:p>
        </w:tc>
      </w:tr>
      <w:tr w:rsidR="008002D0" w14:paraId="6B115B5C" w14:textId="77777777" w:rsidTr="00942EA5">
        <w:trPr>
          <w:cantSplit/>
        </w:trPr>
        <w:tc>
          <w:tcPr>
            <w:tcW w:w="1871" w:type="dxa"/>
          </w:tcPr>
          <w:p w14:paraId="30256F06" w14:textId="77777777" w:rsidR="008002D0" w:rsidRDefault="008002D0" w:rsidP="002C3041">
            <w:pPr>
              <w:pStyle w:val="TableSideHeading"/>
              <w:keepLines w:val="0"/>
              <w:rPr>
                <w:rtl/>
              </w:rPr>
            </w:pPr>
          </w:p>
        </w:tc>
        <w:tc>
          <w:tcPr>
            <w:tcW w:w="624" w:type="dxa"/>
          </w:tcPr>
          <w:p w14:paraId="27210E86" w14:textId="77777777" w:rsidR="008002D0" w:rsidRDefault="008002D0" w:rsidP="008002D0">
            <w:pPr>
              <w:pStyle w:val="TableText"/>
            </w:pPr>
          </w:p>
        </w:tc>
        <w:tc>
          <w:tcPr>
            <w:tcW w:w="7143" w:type="dxa"/>
            <w:gridSpan w:val="3"/>
          </w:tcPr>
          <w:p w14:paraId="3A370040" w14:textId="2D2E9575" w:rsidR="008002D0" w:rsidRPr="008002D0" w:rsidRDefault="008002D0" w:rsidP="00942EA5">
            <w:pPr>
              <w:pStyle w:val="TableBlock"/>
              <w:numPr>
                <w:ilvl w:val="0"/>
                <w:numId w:val="17"/>
              </w:numPr>
              <w:tabs>
                <w:tab w:val="left" w:pos="624"/>
              </w:tabs>
              <w:rPr>
                <w:rtl/>
              </w:rPr>
            </w:pPr>
            <w:r w:rsidRPr="008002D0">
              <w:rPr>
                <w:rtl/>
              </w:rPr>
              <w:t>לא יפנה אדם בין במישרין ובין בעקיפין, אל מוסד בין-לאומי עוין בבקשה לפתיחה בהליך נגד מדינת ישראל.</w:t>
            </w:r>
          </w:p>
        </w:tc>
      </w:tr>
      <w:tr w:rsidR="008002D0" w14:paraId="25C202D6" w14:textId="77777777" w:rsidTr="00942EA5">
        <w:trPr>
          <w:cantSplit/>
        </w:trPr>
        <w:tc>
          <w:tcPr>
            <w:tcW w:w="1871" w:type="dxa"/>
          </w:tcPr>
          <w:p w14:paraId="4ECB0F39" w14:textId="6F287A59" w:rsidR="008002D0" w:rsidRDefault="008002D0" w:rsidP="007E751D">
            <w:pPr>
              <w:pStyle w:val="TableSideHeading"/>
              <w:keepLines w:val="0"/>
            </w:pPr>
            <w:r>
              <w:rPr>
                <w:rFonts w:hint="cs"/>
                <w:rtl/>
              </w:rPr>
              <w:t>עונשין</w:t>
            </w:r>
          </w:p>
        </w:tc>
        <w:tc>
          <w:tcPr>
            <w:tcW w:w="624" w:type="dxa"/>
          </w:tcPr>
          <w:p w14:paraId="5F13E748" w14:textId="6D6ACFC3" w:rsidR="008002D0" w:rsidRDefault="00091174" w:rsidP="00B75BC1">
            <w:pPr>
              <w:pStyle w:val="TableText"/>
              <w:keepLines w:val="0"/>
            </w:pPr>
            <w:r>
              <w:rPr>
                <w:rFonts w:hint="cs"/>
                <w:rtl/>
              </w:rPr>
              <w:t>4.</w:t>
            </w:r>
          </w:p>
        </w:tc>
        <w:tc>
          <w:tcPr>
            <w:tcW w:w="7143" w:type="dxa"/>
            <w:gridSpan w:val="3"/>
          </w:tcPr>
          <w:p w14:paraId="199C8C60" w14:textId="2B05ED69" w:rsidR="008002D0" w:rsidRPr="00C34DE2" w:rsidRDefault="004A724F" w:rsidP="00942EA5">
            <w:pPr>
              <w:pStyle w:val="TableBlock"/>
            </w:pPr>
            <w:r>
              <w:rPr>
                <w:rFonts w:hint="cs"/>
                <w:rtl/>
              </w:rPr>
              <w:t xml:space="preserve">העובר על הוראות סעיף 2, דינו </w:t>
            </w:r>
            <w:r>
              <w:rPr>
                <w:rtl/>
              </w:rPr>
              <w:t>–</w:t>
            </w:r>
            <w:r>
              <w:rPr>
                <w:rFonts w:hint="cs"/>
                <w:rtl/>
              </w:rPr>
              <w:t>שבע שנות מאסר.</w:t>
            </w:r>
          </w:p>
        </w:tc>
      </w:tr>
      <w:tr w:rsidR="002A189F" w14:paraId="0DCAE3A0" w14:textId="77777777" w:rsidTr="00942EA5">
        <w:trPr>
          <w:cantSplit/>
        </w:trPr>
        <w:tc>
          <w:tcPr>
            <w:tcW w:w="1871" w:type="dxa"/>
          </w:tcPr>
          <w:p w14:paraId="27D2E8EC" w14:textId="21503338" w:rsidR="002A189F" w:rsidRDefault="002A189F" w:rsidP="007E751D">
            <w:pPr>
              <w:pStyle w:val="TableSideHeading"/>
              <w:keepLines w:val="0"/>
            </w:pPr>
            <w:r>
              <w:rPr>
                <w:rFonts w:hint="cs"/>
                <w:rtl/>
              </w:rPr>
              <w:t>תיקון חוק ההסגרה</w:t>
            </w:r>
          </w:p>
        </w:tc>
        <w:tc>
          <w:tcPr>
            <w:tcW w:w="624" w:type="dxa"/>
          </w:tcPr>
          <w:p w14:paraId="613E6340" w14:textId="74DFC2DC" w:rsidR="002A189F" w:rsidRDefault="00091174" w:rsidP="00B75BC1">
            <w:pPr>
              <w:pStyle w:val="TableText"/>
              <w:keepLines w:val="0"/>
            </w:pPr>
            <w:r>
              <w:rPr>
                <w:rFonts w:hint="cs"/>
                <w:rtl/>
              </w:rPr>
              <w:t>5.</w:t>
            </w:r>
          </w:p>
        </w:tc>
        <w:tc>
          <w:tcPr>
            <w:tcW w:w="7143" w:type="dxa"/>
            <w:gridSpan w:val="3"/>
          </w:tcPr>
          <w:p w14:paraId="31726CF6" w14:textId="0FDABFC0" w:rsidR="002A189F" w:rsidRPr="00C34DE2" w:rsidRDefault="002A189F" w:rsidP="00942EA5">
            <w:pPr>
              <w:pStyle w:val="TableBlock"/>
            </w:pPr>
            <w:r>
              <w:rPr>
                <w:rFonts w:hint="cs"/>
                <w:rtl/>
              </w:rPr>
              <w:t>בחוק ההסגרה, התשי"ד</w:t>
            </w:r>
            <w:r w:rsidR="000C6476">
              <w:rPr>
                <w:rFonts w:hint="eastAsia"/>
                <w:rtl/>
              </w:rPr>
              <w:t>–</w:t>
            </w:r>
            <w:r>
              <w:rPr>
                <w:rFonts w:hint="cs"/>
                <w:rtl/>
              </w:rPr>
              <w:t>1954</w:t>
            </w:r>
            <w:r w:rsidRPr="00942EA5">
              <w:rPr>
                <w:rStyle w:val="a5"/>
                <w:rFonts w:ascii="David" w:hAnsi="David"/>
                <w:sz w:val="26"/>
                <w:rtl/>
              </w:rPr>
              <w:footnoteReference w:id="3"/>
            </w:r>
            <w:r>
              <w:rPr>
                <w:rFonts w:hint="cs"/>
                <w:rtl/>
              </w:rPr>
              <w:t xml:space="preserve">, בסעיף 2ב, בסופו יבוא: </w:t>
            </w:r>
          </w:p>
        </w:tc>
      </w:tr>
      <w:tr w:rsidR="004A724F" w14:paraId="10298156" w14:textId="77777777" w:rsidTr="00942EA5">
        <w:trPr>
          <w:cantSplit/>
        </w:trPr>
        <w:tc>
          <w:tcPr>
            <w:tcW w:w="1871" w:type="dxa"/>
          </w:tcPr>
          <w:p w14:paraId="708382EC" w14:textId="77777777" w:rsidR="004A724F" w:rsidRDefault="004A724F">
            <w:pPr>
              <w:pStyle w:val="TableSideHeading"/>
            </w:pPr>
          </w:p>
        </w:tc>
        <w:tc>
          <w:tcPr>
            <w:tcW w:w="624" w:type="dxa"/>
          </w:tcPr>
          <w:p w14:paraId="00427C84" w14:textId="77777777" w:rsidR="004A724F" w:rsidRDefault="004A724F">
            <w:pPr>
              <w:pStyle w:val="TableText"/>
            </w:pPr>
          </w:p>
        </w:tc>
        <w:tc>
          <w:tcPr>
            <w:tcW w:w="7143" w:type="dxa"/>
            <w:gridSpan w:val="3"/>
          </w:tcPr>
          <w:p w14:paraId="17B18434" w14:textId="4B933A6B" w:rsidR="004A724F" w:rsidRDefault="004A724F" w:rsidP="00942EA5">
            <w:pPr>
              <w:pStyle w:val="TableBlock"/>
            </w:pPr>
            <w:r>
              <w:rPr>
                <w:rFonts w:hint="cs"/>
                <w:rtl/>
              </w:rPr>
              <w:t xml:space="preserve">"(ג) לא יוסגר אדם הנמצא בישראל למוסד בין-לאומי עוין, למדינה או לכל גורם זר, אם יש יסוד להניח כי הבקשה או הצו להסגרה הוצאו בקשר ישיר או עקיף להליך נגד מדינת ישראל. לעניין הוראה זו </w:t>
            </w:r>
            <w:r>
              <w:rPr>
                <w:rtl/>
              </w:rPr>
              <w:t>–</w:t>
            </w:r>
            <w:r>
              <w:rPr>
                <w:rFonts w:hint="cs"/>
                <w:rtl/>
              </w:rPr>
              <w:t xml:space="preserve"> "מוסד בין-לאומי עוין", ו-"הליך נגד מדינת ישראל" – כהגדרתם ב</w:t>
            </w:r>
            <w:r w:rsidRPr="00A6261F">
              <w:rPr>
                <w:rtl/>
              </w:rPr>
              <w:t xml:space="preserve">חוק </w:t>
            </w:r>
            <w:r w:rsidRPr="00A6261F">
              <w:rPr>
                <w:rFonts w:hint="cs"/>
                <w:rtl/>
              </w:rPr>
              <w:t xml:space="preserve">ההגנה על ישראלים מפני </w:t>
            </w:r>
            <w:r>
              <w:rPr>
                <w:rFonts w:hint="cs"/>
                <w:rtl/>
              </w:rPr>
              <w:t>מוסדות בין-לאומיים עוינים</w:t>
            </w:r>
            <w:r w:rsidRPr="00A6261F">
              <w:rPr>
                <w:rFonts w:hint="cs"/>
                <w:rtl/>
              </w:rPr>
              <w:t xml:space="preserve"> (הוראות ותיקוני חקיקה)</w:t>
            </w:r>
            <w:r w:rsidRPr="00A6261F">
              <w:rPr>
                <w:rtl/>
              </w:rPr>
              <w:t xml:space="preserve">, </w:t>
            </w:r>
            <w:r>
              <w:rPr>
                <w:rFonts w:hint="cs"/>
                <w:rtl/>
              </w:rPr>
              <w:t>ה</w:t>
            </w:r>
            <w:r w:rsidRPr="00A6261F">
              <w:rPr>
                <w:rtl/>
              </w:rPr>
              <w:t>תש</w:t>
            </w:r>
            <w:r>
              <w:rPr>
                <w:rFonts w:hint="cs"/>
                <w:rtl/>
              </w:rPr>
              <w:t>פ"א–</w:t>
            </w:r>
            <w:r w:rsidRPr="00A6261F">
              <w:rPr>
                <w:rtl/>
              </w:rPr>
              <w:t>2</w:t>
            </w:r>
            <w:r>
              <w:rPr>
                <w:rFonts w:hint="cs"/>
                <w:rtl/>
              </w:rPr>
              <w:t xml:space="preserve">020." </w:t>
            </w:r>
          </w:p>
        </w:tc>
      </w:tr>
      <w:tr w:rsidR="002A189F" w14:paraId="329AEBAD" w14:textId="77777777" w:rsidTr="00942EA5">
        <w:trPr>
          <w:cantSplit/>
        </w:trPr>
        <w:tc>
          <w:tcPr>
            <w:tcW w:w="1871" w:type="dxa"/>
          </w:tcPr>
          <w:p w14:paraId="001F19DA" w14:textId="3DD360D0" w:rsidR="002A189F" w:rsidRDefault="002A189F" w:rsidP="007E751D">
            <w:pPr>
              <w:pStyle w:val="TableSideHeading"/>
              <w:keepLines w:val="0"/>
            </w:pPr>
            <w:r>
              <w:rPr>
                <w:rFonts w:hint="cs"/>
                <w:rtl/>
              </w:rPr>
              <w:t>תיקון חוק הכניסה לישראל</w:t>
            </w:r>
          </w:p>
        </w:tc>
        <w:tc>
          <w:tcPr>
            <w:tcW w:w="624" w:type="dxa"/>
          </w:tcPr>
          <w:p w14:paraId="442F6715" w14:textId="6711AEE4" w:rsidR="002A189F" w:rsidRDefault="00091174" w:rsidP="00B75BC1">
            <w:pPr>
              <w:pStyle w:val="TableText"/>
              <w:keepLines w:val="0"/>
            </w:pPr>
            <w:r>
              <w:rPr>
                <w:rFonts w:hint="cs"/>
                <w:rtl/>
              </w:rPr>
              <w:t>6.</w:t>
            </w:r>
          </w:p>
        </w:tc>
        <w:tc>
          <w:tcPr>
            <w:tcW w:w="7143" w:type="dxa"/>
            <w:gridSpan w:val="3"/>
          </w:tcPr>
          <w:p w14:paraId="699274E2" w14:textId="45C9CACE" w:rsidR="002A189F" w:rsidRPr="00C34DE2" w:rsidRDefault="002A189F" w:rsidP="00942EA5">
            <w:pPr>
              <w:pStyle w:val="TableBlock"/>
            </w:pPr>
            <w:r>
              <w:rPr>
                <w:rFonts w:hint="cs"/>
                <w:rtl/>
              </w:rPr>
              <w:t>בחוק הכניסה לישראל, התשי"ב-1952</w:t>
            </w:r>
            <w:r w:rsidRPr="00942EA5">
              <w:rPr>
                <w:rStyle w:val="a5"/>
                <w:rFonts w:ascii="David" w:hAnsi="David"/>
                <w:sz w:val="26"/>
                <w:rtl/>
              </w:rPr>
              <w:footnoteReference w:id="4"/>
            </w:r>
            <w:r w:rsidR="002569AF">
              <w:rPr>
                <w:rFonts w:hint="cs"/>
                <w:rtl/>
              </w:rPr>
              <w:t>, בסעיף 2, בסופו יבוא:</w:t>
            </w:r>
            <w:r w:rsidR="002569AF">
              <w:rPr>
                <w:rtl/>
              </w:rPr>
              <w:tab/>
            </w:r>
          </w:p>
        </w:tc>
      </w:tr>
      <w:tr w:rsidR="005E3E63" w14:paraId="587D4F25" w14:textId="77777777" w:rsidTr="00942EA5">
        <w:trPr>
          <w:cantSplit/>
        </w:trPr>
        <w:tc>
          <w:tcPr>
            <w:tcW w:w="1871" w:type="dxa"/>
          </w:tcPr>
          <w:p w14:paraId="6F30E87E" w14:textId="77777777" w:rsidR="005E3E63" w:rsidRDefault="005E3E63">
            <w:pPr>
              <w:pStyle w:val="TableSideHeading"/>
            </w:pPr>
          </w:p>
        </w:tc>
        <w:tc>
          <w:tcPr>
            <w:tcW w:w="624" w:type="dxa"/>
          </w:tcPr>
          <w:p w14:paraId="42540BA1" w14:textId="77777777" w:rsidR="005E3E63" w:rsidRDefault="005E3E63">
            <w:pPr>
              <w:pStyle w:val="TableText"/>
            </w:pPr>
          </w:p>
        </w:tc>
        <w:tc>
          <w:tcPr>
            <w:tcW w:w="624" w:type="dxa"/>
          </w:tcPr>
          <w:p w14:paraId="2D4F0205" w14:textId="1175E861" w:rsidR="005E3E63" w:rsidRDefault="005E3E63">
            <w:pPr>
              <w:pStyle w:val="TableText"/>
            </w:pPr>
            <w:r>
              <w:rPr>
                <w:rFonts w:hint="cs"/>
                <w:rtl/>
              </w:rPr>
              <w:t>"(ו)</w:t>
            </w:r>
          </w:p>
        </w:tc>
        <w:tc>
          <w:tcPr>
            <w:tcW w:w="6519" w:type="dxa"/>
            <w:gridSpan w:val="2"/>
          </w:tcPr>
          <w:p w14:paraId="4B0D4E2F" w14:textId="1B8D66B3" w:rsidR="005E3E63" w:rsidRDefault="005E3E63" w:rsidP="00942EA5">
            <w:pPr>
              <w:pStyle w:val="TableBlock"/>
            </w:pPr>
            <w:r>
              <w:rPr>
                <w:rFonts w:hint="cs"/>
                <w:rtl/>
              </w:rPr>
              <w:t>(1)</w:t>
            </w:r>
            <w:r>
              <w:rPr>
                <w:rtl/>
              </w:rPr>
              <w:tab/>
            </w:r>
            <w:r w:rsidRPr="00692B95">
              <w:rPr>
                <w:rFonts w:hint="cs"/>
                <w:rtl/>
              </w:rPr>
              <w:t xml:space="preserve">לא יינתנו אשרה ורישיון </w:t>
            </w:r>
            <w:r w:rsidRPr="00692B95">
              <w:rPr>
                <w:rtl/>
              </w:rPr>
              <w:t>ישיבה מכל סוג שהוא, לישראל או לשטחים הנתונים בשליטתה,</w:t>
            </w:r>
            <w:r w:rsidRPr="00995C4B">
              <w:rPr>
                <w:rtl/>
              </w:rPr>
              <w:t xml:space="preserve">  למי שהוא אחד מאלה:</w:t>
            </w:r>
          </w:p>
        </w:tc>
      </w:tr>
      <w:tr w:rsidR="005E3E63" w14:paraId="5B728FEC" w14:textId="77777777" w:rsidTr="00942EA5">
        <w:trPr>
          <w:cantSplit/>
        </w:trPr>
        <w:tc>
          <w:tcPr>
            <w:tcW w:w="1871" w:type="dxa"/>
          </w:tcPr>
          <w:p w14:paraId="1AA9A4D7" w14:textId="77777777" w:rsidR="005E3E63" w:rsidRDefault="005E3E63">
            <w:pPr>
              <w:pStyle w:val="TableSideHeading"/>
            </w:pPr>
          </w:p>
        </w:tc>
        <w:tc>
          <w:tcPr>
            <w:tcW w:w="624" w:type="dxa"/>
          </w:tcPr>
          <w:p w14:paraId="79258E57" w14:textId="77777777" w:rsidR="005E3E63" w:rsidRDefault="005E3E63">
            <w:pPr>
              <w:pStyle w:val="TableText"/>
            </w:pPr>
          </w:p>
        </w:tc>
        <w:tc>
          <w:tcPr>
            <w:tcW w:w="624" w:type="dxa"/>
          </w:tcPr>
          <w:p w14:paraId="30D28F53" w14:textId="77777777" w:rsidR="005E3E63" w:rsidRDefault="005E3E63">
            <w:pPr>
              <w:pStyle w:val="TableText"/>
            </w:pPr>
          </w:p>
        </w:tc>
        <w:tc>
          <w:tcPr>
            <w:tcW w:w="624" w:type="dxa"/>
          </w:tcPr>
          <w:p w14:paraId="18D13667" w14:textId="77777777" w:rsidR="005E3E63" w:rsidRDefault="005E3E63">
            <w:pPr>
              <w:pStyle w:val="TableText"/>
            </w:pPr>
          </w:p>
        </w:tc>
        <w:tc>
          <w:tcPr>
            <w:tcW w:w="5895" w:type="dxa"/>
          </w:tcPr>
          <w:p w14:paraId="2D20B954" w14:textId="2F351464" w:rsidR="005E3E63" w:rsidRDefault="005E3E63" w:rsidP="00942EA5">
            <w:pPr>
              <w:pStyle w:val="TableBlock"/>
            </w:pPr>
            <w:r>
              <w:rPr>
                <w:rFonts w:hint="cs"/>
                <w:rtl/>
              </w:rPr>
              <w:t>(א)</w:t>
            </w:r>
            <w:r>
              <w:rPr>
                <w:rtl/>
              </w:rPr>
              <w:tab/>
            </w:r>
            <w:r>
              <w:rPr>
                <w:rFonts w:hint="cs"/>
                <w:rtl/>
              </w:rPr>
              <w:t>אדם שיש יסוד לחשד כי הוא פועל או צפוי לפעול מטעם מוסד בין-לאומי עוין בקשר ישיר או עקיף להליך נגד מדינת ישראל;</w:t>
            </w:r>
          </w:p>
        </w:tc>
      </w:tr>
      <w:tr w:rsidR="005E3E63" w14:paraId="0E04B5B5" w14:textId="77777777" w:rsidTr="00942EA5">
        <w:trPr>
          <w:cantSplit/>
        </w:trPr>
        <w:tc>
          <w:tcPr>
            <w:tcW w:w="1871" w:type="dxa"/>
          </w:tcPr>
          <w:p w14:paraId="11067DC3" w14:textId="77777777" w:rsidR="005E3E63" w:rsidRDefault="005E3E63">
            <w:pPr>
              <w:pStyle w:val="TableSideHeading"/>
            </w:pPr>
          </w:p>
        </w:tc>
        <w:tc>
          <w:tcPr>
            <w:tcW w:w="624" w:type="dxa"/>
          </w:tcPr>
          <w:p w14:paraId="411359F6" w14:textId="77777777" w:rsidR="005E3E63" w:rsidRDefault="005E3E63" w:rsidP="00091174">
            <w:pPr>
              <w:pStyle w:val="TableText"/>
            </w:pPr>
          </w:p>
        </w:tc>
        <w:tc>
          <w:tcPr>
            <w:tcW w:w="624" w:type="dxa"/>
          </w:tcPr>
          <w:p w14:paraId="1E6F0E15" w14:textId="77777777" w:rsidR="005E3E63" w:rsidRDefault="005E3E63">
            <w:pPr>
              <w:pStyle w:val="TableText"/>
            </w:pPr>
          </w:p>
        </w:tc>
        <w:tc>
          <w:tcPr>
            <w:tcW w:w="624" w:type="dxa"/>
          </w:tcPr>
          <w:p w14:paraId="257BFBB2" w14:textId="77777777" w:rsidR="005E3E63" w:rsidRDefault="005E3E63">
            <w:pPr>
              <w:pStyle w:val="TableText"/>
            </w:pPr>
          </w:p>
        </w:tc>
        <w:tc>
          <w:tcPr>
            <w:tcW w:w="5895" w:type="dxa"/>
          </w:tcPr>
          <w:p w14:paraId="20739AC2" w14:textId="1FBD6753" w:rsidR="005E3E63" w:rsidRDefault="005E3E63" w:rsidP="00942EA5">
            <w:pPr>
              <w:pStyle w:val="TableBlock"/>
              <w:rPr>
                <w:rtl/>
              </w:rPr>
            </w:pPr>
            <w:r>
              <w:rPr>
                <w:rFonts w:hint="cs"/>
                <w:rtl/>
              </w:rPr>
              <w:t>(ב)</w:t>
            </w:r>
            <w:r>
              <w:rPr>
                <w:rtl/>
              </w:rPr>
              <w:tab/>
            </w:r>
            <w:r w:rsidRPr="00995C4B">
              <w:rPr>
                <w:rFonts w:hint="cs"/>
                <w:rtl/>
              </w:rPr>
              <w:t>אדם שיש יסוד לחשד כי הוא פועל או צפוי לפעול בין מטעם עצמו ובין מטעם מדינה או גוף אחר שפנו למוסד בין-לאומי עוין בבקשה לפתיחת הליך נגד מדינת ישראל</w:t>
            </w:r>
            <w:r>
              <w:rPr>
                <w:rFonts w:hint="cs"/>
                <w:rtl/>
              </w:rPr>
              <w:t>, בקשר ישיר או עקיף להליך האמור.</w:t>
            </w:r>
          </w:p>
        </w:tc>
      </w:tr>
      <w:tr w:rsidR="005E3E63" w14:paraId="788CBBE7" w14:textId="77777777" w:rsidTr="00942EA5">
        <w:trPr>
          <w:cantSplit/>
        </w:trPr>
        <w:tc>
          <w:tcPr>
            <w:tcW w:w="1871" w:type="dxa"/>
          </w:tcPr>
          <w:p w14:paraId="6C2DEFB4" w14:textId="77777777" w:rsidR="005E3E63" w:rsidRDefault="005E3E63">
            <w:pPr>
              <w:pStyle w:val="TableSideHeading"/>
            </w:pPr>
          </w:p>
        </w:tc>
        <w:tc>
          <w:tcPr>
            <w:tcW w:w="624" w:type="dxa"/>
          </w:tcPr>
          <w:p w14:paraId="3951BD9C" w14:textId="77777777" w:rsidR="005E3E63" w:rsidRDefault="005E3E63">
            <w:pPr>
              <w:pStyle w:val="TableText"/>
            </w:pPr>
          </w:p>
        </w:tc>
        <w:tc>
          <w:tcPr>
            <w:tcW w:w="624" w:type="dxa"/>
          </w:tcPr>
          <w:p w14:paraId="0FE3CED5" w14:textId="77777777" w:rsidR="005E3E63" w:rsidRDefault="005E3E63">
            <w:pPr>
              <w:pStyle w:val="TableText"/>
            </w:pPr>
          </w:p>
        </w:tc>
        <w:tc>
          <w:tcPr>
            <w:tcW w:w="6519" w:type="dxa"/>
            <w:gridSpan w:val="2"/>
          </w:tcPr>
          <w:p w14:paraId="31828DF5" w14:textId="33279BAF" w:rsidR="005E3E63" w:rsidRDefault="005E3E63" w:rsidP="00942EA5">
            <w:pPr>
              <w:pStyle w:val="TableBlock"/>
            </w:pPr>
            <w:r>
              <w:rPr>
                <w:rFonts w:hint="cs"/>
                <w:rtl/>
              </w:rPr>
              <w:t>(2)</w:t>
            </w:r>
            <w:r>
              <w:rPr>
                <w:rtl/>
              </w:rPr>
              <w:tab/>
            </w:r>
            <w:r w:rsidRPr="008E563D">
              <w:rPr>
                <w:rFonts w:hint="eastAsia"/>
                <w:rtl/>
              </w:rPr>
              <w:t>על</w:t>
            </w:r>
            <w:r w:rsidRPr="008E563D">
              <w:rPr>
                <w:rtl/>
              </w:rPr>
              <w:t xml:space="preserve"> אף האמור בסעיף-קטן זה, </w:t>
            </w:r>
            <w:r w:rsidRPr="008E563D">
              <w:rPr>
                <w:rFonts w:hint="eastAsia"/>
                <w:rtl/>
              </w:rPr>
              <w:t>שר</w:t>
            </w:r>
            <w:r w:rsidRPr="008E563D">
              <w:rPr>
                <w:rtl/>
              </w:rPr>
              <w:t xml:space="preserve"> </w:t>
            </w:r>
            <w:r w:rsidRPr="008E563D">
              <w:rPr>
                <w:rFonts w:hint="eastAsia"/>
                <w:rtl/>
              </w:rPr>
              <w:t>הפנים</w:t>
            </w:r>
            <w:r w:rsidRPr="008E563D">
              <w:rPr>
                <w:rtl/>
              </w:rPr>
              <w:t xml:space="preserve"> </w:t>
            </w:r>
            <w:r w:rsidRPr="008E563D">
              <w:rPr>
                <w:rFonts w:hint="eastAsia"/>
                <w:rtl/>
              </w:rPr>
              <w:t>רשאי</w:t>
            </w:r>
            <w:r w:rsidRPr="008E563D">
              <w:rPr>
                <w:rtl/>
              </w:rPr>
              <w:t xml:space="preserve">, </w:t>
            </w:r>
            <w:r>
              <w:rPr>
                <w:rFonts w:hint="cs"/>
                <w:rtl/>
              </w:rPr>
              <w:t>בהתייעצות</w:t>
            </w:r>
            <w:r w:rsidRPr="008E563D">
              <w:rPr>
                <w:rtl/>
              </w:rPr>
              <w:t xml:space="preserve"> </w:t>
            </w:r>
            <w:r w:rsidRPr="008E563D">
              <w:rPr>
                <w:rFonts w:hint="eastAsia"/>
                <w:rtl/>
              </w:rPr>
              <w:t>עם</w:t>
            </w:r>
            <w:r w:rsidRPr="008E563D">
              <w:rPr>
                <w:rtl/>
              </w:rPr>
              <w:t xml:space="preserve"> </w:t>
            </w:r>
            <w:r w:rsidRPr="008E563D">
              <w:rPr>
                <w:rFonts w:hint="eastAsia"/>
                <w:rtl/>
              </w:rPr>
              <w:t>שר</w:t>
            </w:r>
            <w:r w:rsidRPr="008E563D">
              <w:rPr>
                <w:rtl/>
              </w:rPr>
              <w:t xml:space="preserve"> </w:t>
            </w:r>
            <w:r w:rsidRPr="008E563D">
              <w:rPr>
                <w:rFonts w:hint="eastAsia"/>
                <w:rtl/>
              </w:rPr>
              <w:t>החוץ</w:t>
            </w:r>
            <w:r>
              <w:rPr>
                <w:rFonts w:hint="cs"/>
                <w:rtl/>
              </w:rPr>
              <w:t>, ליתן אשרה ורישיון לישיבת ביקור, אם נוכח כי הדבר נחוץ לביטחון המדינה או ליחסי החוץ שלה.</w:t>
            </w:r>
          </w:p>
        </w:tc>
      </w:tr>
      <w:tr w:rsidR="005E3E63" w14:paraId="3DDF020B" w14:textId="77777777" w:rsidTr="00942EA5">
        <w:trPr>
          <w:cantSplit/>
        </w:trPr>
        <w:tc>
          <w:tcPr>
            <w:tcW w:w="1871" w:type="dxa"/>
          </w:tcPr>
          <w:p w14:paraId="270F94D6" w14:textId="77777777" w:rsidR="005E3E63" w:rsidRDefault="005E3E63">
            <w:pPr>
              <w:pStyle w:val="TableSideHeading"/>
            </w:pPr>
          </w:p>
        </w:tc>
        <w:tc>
          <w:tcPr>
            <w:tcW w:w="624" w:type="dxa"/>
          </w:tcPr>
          <w:p w14:paraId="1BCD9822" w14:textId="77777777" w:rsidR="005E3E63" w:rsidRDefault="005E3E63" w:rsidP="00091174">
            <w:pPr>
              <w:pStyle w:val="TableText"/>
            </w:pPr>
          </w:p>
        </w:tc>
        <w:tc>
          <w:tcPr>
            <w:tcW w:w="624" w:type="dxa"/>
          </w:tcPr>
          <w:p w14:paraId="39520148" w14:textId="77777777" w:rsidR="005E3E63" w:rsidRDefault="005E3E63">
            <w:pPr>
              <w:pStyle w:val="TableText"/>
            </w:pPr>
          </w:p>
        </w:tc>
        <w:tc>
          <w:tcPr>
            <w:tcW w:w="6519" w:type="dxa"/>
            <w:gridSpan w:val="2"/>
          </w:tcPr>
          <w:p w14:paraId="1A07F216" w14:textId="5C07F6C2" w:rsidR="005E3E63" w:rsidRDefault="005E3E63" w:rsidP="00942EA5">
            <w:pPr>
              <w:pStyle w:val="TableBlock"/>
              <w:rPr>
                <w:rtl/>
              </w:rPr>
            </w:pPr>
            <w:r>
              <w:rPr>
                <w:rFonts w:hint="cs"/>
                <w:rtl/>
              </w:rPr>
              <w:t>(3)</w:t>
            </w:r>
            <w:r>
              <w:rPr>
                <w:rtl/>
              </w:rPr>
              <w:tab/>
            </w:r>
            <w:r>
              <w:rPr>
                <w:rFonts w:hint="cs"/>
                <w:rtl/>
              </w:rPr>
              <w:t xml:space="preserve">בסעיף זה </w:t>
            </w:r>
            <w:r>
              <w:rPr>
                <w:rtl/>
              </w:rPr>
              <w:t>–</w:t>
            </w:r>
            <w:r>
              <w:rPr>
                <w:rFonts w:hint="cs"/>
                <w:rtl/>
              </w:rPr>
              <w:t xml:space="preserve"> "מוסד בין-לאומי עוין" ו"הליך נגד מדינת ישראל" </w:t>
            </w:r>
            <w:r>
              <w:rPr>
                <w:rtl/>
              </w:rPr>
              <w:t>–</w:t>
            </w:r>
            <w:r>
              <w:rPr>
                <w:rFonts w:hint="cs"/>
                <w:rtl/>
              </w:rPr>
              <w:t xml:space="preserve"> כהגדרתם </w:t>
            </w:r>
            <w:r w:rsidRPr="00805D0E">
              <w:rPr>
                <w:rtl/>
              </w:rPr>
              <w:t xml:space="preserve">בחוק ההגנה על ישראלים מפני מוסדות בין-לאומיים עוינים (הוראות ותיקוני חקיקה), </w:t>
            </w:r>
            <w:r>
              <w:rPr>
                <w:rFonts w:hint="cs"/>
                <w:rtl/>
              </w:rPr>
              <w:t>ה</w:t>
            </w:r>
            <w:r w:rsidRPr="00805D0E">
              <w:rPr>
                <w:rtl/>
              </w:rPr>
              <w:t>תשפ</w:t>
            </w:r>
            <w:r>
              <w:rPr>
                <w:rFonts w:hint="cs"/>
                <w:rtl/>
              </w:rPr>
              <w:t>"א–</w:t>
            </w:r>
            <w:r w:rsidRPr="00805D0E">
              <w:rPr>
                <w:rtl/>
              </w:rPr>
              <w:t>2020."</w:t>
            </w:r>
          </w:p>
        </w:tc>
      </w:tr>
      <w:tr w:rsidR="00805D0E" w14:paraId="06B703AF" w14:textId="77777777" w:rsidTr="00942EA5">
        <w:trPr>
          <w:cantSplit/>
        </w:trPr>
        <w:tc>
          <w:tcPr>
            <w:tcW w:w="1871" w:type="dxa"/>
          </w:tcPr>
          <w:p w14:paraId="1A9A0AA7" w14:textId="00F6330C" w:rsidR="00805D0E" w:rsidRDefault="00805D0E" w:rsidP="007E751D">
            <w:pPr>
              <w:pStyle w:val="TableSideHeading"/>
              <w:keepLines w:val="0"/>
            </w:pPr>
            <w:r>
              <w:rPr>
                <w:rFonts w:hint="cs"/>
                <w:rtl/>
              </w:rPr>
              <w:t>ביצוע ותקנות</w:t>
            </w:r>
          </w:p>
        </w:tc>
        <w:tc>
          <w:tcPr>
            <w:tcW w:w="624" w:type="dxa"/>
          </w:tcPr>
          <w:p w14:paraId="22976955" w14:textId="617B7A47" w:rsidR="00805D0E" w:rsidRDefault="00091174" w:rsidP="00B75BC1">
            <w:pPr>
              <w:pStyle w:val="TableText"/>
              <w:keepLines w:val="0"/>
            </w:pPr>
            <w:r>
              <w:rPr>
                <w:rFonts w:hint="cs"/>
                <w:rtl/>
              </w:rPr>
              <w:t>7.</w:t>
            </w:r>
          </w:p>
        </w:tc>
        <w:tc>
          <w:tcPr>
            <w:tcW w:w="7143" w:type="dxa"/>
            <w:gridSpan w:val="3"/>
          </w:tcPr>
          <w:p w14:paraId="25B0B25B" w14:textId="6308E791" w:rsidR="00805D0E" w:rsidRPr="00C34DE2" w:rsidRDefault="00805D0E" w:rsidP="00942EA5">
            <w:pPr>
              <w:pStyle w:val="TableBlock"/>
            </w:pPr>
            <w:r>
              <w:rPr>
                <w:rFonts w:hint="cs"/>
                <w:rtl/>
              </w:rPr>
              <w:t>שר המשפטים ממונה על ביצועו של חוק זה, והוא רשאי להתקין תקנות לביצועו</w:t>
            </w:r>
            <w:r w:rsidR="00BF4D1F">
              <w:rPr>
                <w:rFonts w:hint="cs"/>
                <w:rtl/>
              </w:rPr>
              <w:t>.</w:t>
            </w:r>
          </w:p>
        </w:tc>
      </w:tr>
    </w:tbl>
    <w:p w14:paraId="76392BF8" w14:textId="77777777" w:rsidR="005040CD" w:rsidRDefault="005040CD" w:rsidP="002D1EE3">
      <w:pPr>
        <w:pStyle w:val="HeadDivreiHesber"/>
        <w:rPr>
          <w:rtl/>
        </w:rPr>
      </w:pPr>
    </w:p>
    <w:p w14:paraId="7F6961CA" w14:textId="77777777" w:rsidR="002D1EE3" w:rsidRDefault="002D1EE3" w:rsidP="002D1EE3">
      <w:pPr>
        <w:pStyle w:val="HeadDivreiHesber"/>
        <w:rPr>
          <w:rtl/>
        </w:rPr>
      </w:pPr>
      <w:r w:rsidRPr="0027450A">
        <w:rPr>
          <w:rFonts w:hint="cs"/>
          <w:rtl/>
        </w:rPr>
        <w:t>דברי הסבר</w:t>
      </w:r>
    </w:p>
    <w:p w14:paraId="64368A91" w14:textId="77777777" w:rsidR="00805D0E" w:rsidRDefault="00805D0E" w:rsidP="00805D0E">
      <w:pPr>
        <w:pStyle w:val="Hesber"/>
        <w:rPr>
          <w:rtl/>
        </w:rPr>
      </w:pPr>
      <w:r>
        <w:rPr>
          <w:rFonts w:hint="cs"/>
          <w:rtl/>
        </w:rPr>
        <w:t>בכירי מדינת ישראל ומשרתי כוחות הביטחון נתונים תחת איום של תביעה בבית הדין הפלילי הבין-לאומי בהאג (</w:t>
      </w:r>
      <w:r>
        <w:t>International Criminal Court</w:t>
      </w:r>
      <w:r>
        <w:rPr>
          <w:rFonts w:hint="cs"/>
          <w:rtl/>
        </w:rPr>
        <w:t xml:space="preserve">). כפי שנוכחנו לאחרונה בהחלטות שהתקבלו במנגנוני בית הדין, בית הדין הפלילי בהאג נוקט גישה עוינת כלפי ישראל, חייליה, מנהיגיה ואזרחיה והוא נתון ללחצים פוליטיים מצד מבקשי רעתה. </w:t>
      </w:r>
    </w:p>
    <w:p w14:paraId="21FD8250" w14:textId="77777777" w:rsidR="00805D0E" w:rsidRDefault="00805D0E" w:rsidP="00805D0E">
      <w:pPr>
        <w:pStyle w:val="Hesber"/>
        <w:rPr>
          <w:rtl/>
        </w:rPr>
      </w:pPr>
      <w:r>
        <w:rPr>
          <w:rFonts w:hint="cs"/>
          <w:rtl/>
        </w:rPr>
        <w:t>על אף שישראל מחילה על עצמה את כל דיני המלחמה שבמשפט הבין-לאומי המנהגי ומקיימת מנגנוני שיפוט פנימיים יעילים והוגנים, בית הדין הפלילי בהאג צפוי לפעול נגדה. הטייתו המובנית של בית הדין כנגד ישראל מגבילה כבר כעת את חופש פעולתה, ומהווה איום על ריבונותה, בין אם בשלב עיצוב המדיניות ודרכי הפעולה ובין אם בחשש מפני התנכלות לאנשי מערכת הביטחון, אנשי ממשל או  הפועלים מטעמם, בדמות צווי מעצר בין-לאומיים. בית הדין הפלילי בהאג פועל לרוב נגד אנשים ולא נגד מדינות, ולפיכך הצעת החוק מתייחסת למקרים שבהם נוקט בית הדין פעולות נגד ישראלים.</w:t>
      </w:r>
    </w:p>
    <w:p w14:paraId="740DBB01" w14:textId="77777777" w:rsidR="00805D0E" w:rsidRDefault="00805D0E" w:rsidP="00805D0E">
      <w:pPr>
        <w:pStyle w:val="Hesber"/>
        <w:rPr>
          <w:rtl/>
        </w:rPr>
      </w:pPr>
      <w:r>
        <w:rPr>
          <w:rFonts w:hint="cs"/>
          <w:rtl/>
        </w:rPr>
        <w:t>חוק אמריקאי משנת 2002 (</w:t>
      </w:r>
      <w:r w:rsidRPr="00FA2ECC">
        <w:t>American Service-Members' Protection Act</w:t>
      </w:r>
      <w:r>
        <w:rPr>
          <w:rFonts w:hint="cs"/>
          <w:rtl/>
        </w:rPr>
        <w:t>) קובע הסדרים דומים להסדרים המוצעים בחוק זה, לרבות הסמכה מפורשת של הנשיא לנקוט כל פעולה נגד בית הדין הפלילי הבין-לאומי אם הלה יהווה איום נגד בנות בריתה של ארצות הברית, ובכלל זה ישראל. לאור זאת, מוצע כי החוק יעניק הגנה דומה גם ביחס לפעולות של בית הדין הפלילי הבין-לאומי נגד בנות בריתה של ישראל.</w:t>
      </w:r>
    </w:p>
    <w:p w14:paraId="26F7495C" w14:textId="77777777" w:rsidR="00805D0E" w:rsidRDefault="00805D0E" w:rsidP="00805D0E">
      <w:pPr>
        <w:pStyle w:val="Hesber"/>
        <w:rPr>
          <w:rtl/>
        </w:rPr>
      </w:pPr>
      <w:r>
        <w:rPr>
          <w:rFonts w:hint="cs"/>
          <w:rtl/>
        </w:rPr>
        <w:t xml:space="preserve">מטרת </w:t>
      </w:r>
      <w:r>
        <w:rPr>
          <w:rtl/>
        </w:rPr>
        <w:t xml:space="preserve">החוק המוצע </w:t>
      </w:r>
      <w:r>
        <w:rPr>
          <w:rFonts w:hint="cs"/>
          <w:rtl/>
        </w:rPr>
        <w:t>היא להציב הגנה ריבונית על חיילי צה"ל ואנשי מערכת הביטחון  המסכנים את חייהם לטובת מדינת ישראל, כמו גם על נבחרי ציבור, עובדי ציבור, מדינאים ואף אזרחים העשויים להיות חשופים לסכנה מצד פעילות בין הדין</w:t>
      </w:r>
      <w:r>
        <w:rPr>
          <w:rtl/>
        </w:rPr>
        <w:t>.</w:t>
      </w:r>
      <w:r>
        <w:rPr>
          <w:rFonts w:hint="cs"/>
          <w:rtl/>
        </w:rPr>
        <w:t xml:space="preserve"> החוק יעניק ביטחון לאנשי כוחות הביטחון בפעולותיהם ויגביר את מורל החיילים בזמן פעילותם המבצעית, יצמצם את החשש מפני התנכלות של מוסד בין-לאומי עוין, וכן ימנע מגבלות על מרחב קבלת ההחלטות של מדינאים. כל זאת מבלי לגרוע או לפגוע בחובותיה של מדינת ישראל והפועלים בשמה לפי המשפט הבין-לאומי החל בכל עניין ועניין.</w:t>
      </w:r>
    </w:p>
    <w:p w14:paraId="77C61035" w14:textId="77777777" w:rsidR="00805D0E" w:rsidRDefault="00805D0E" w:rsidP="00805D0E">
      <w:pPr>
        <w:pStyle w:val="Hesber"/>
        <w:rPr>
          <w:rtl/>
        </w:rPr>
      </w:pPr>
    </w:p>
    <w:p w14:paraId="0468AD87" w14:textId="67A88775" w:rsidR="00805D0E" w:rsidRDefault="00805D0E" w:rsidP="00091174">
      <w:pPr>
        <w:pStyle w:val="Hesber"/>
        <w:rPr>
          <w:rtl/>
        </w:rPr>
      </w:pPr>
      <w:r>
        <w:rPr>
          <w:rFonts w:hint="cs"/>
          <w:rtl/>
        </w:rPr>
        <w:t>החוק קובע הגנה לאנשי כוחות הביטחו</w:t>
      </w:r>
      <w:r w:rsidR="00622CCE">
        <w:rPr>
          <w:rFonts w:hint="cs"/>
          <w:rtl/>
        </w:rPr>
        <w:t xml:space="preserve">ן או למי שפועל מטעם מדינת ישראל, </w:t>
      </w:r>
      <w:r>
        <w:rPr>
          <w:rFonts w:hint="cs"/>
          <w:rtl/>
        </w:rPr>
        <w:t>בכל מקום שהוא</w:t>
      </w:r>
      <w:r w:rsidR="00EA0FC3">
        <w:rPr>
          <w:rFonts w:hint="cs"/>
          <w:rtl/>
        </w:rPr>
        <w:t>, בין</w:t>
      </w:r>
      <w:r>
        <w:rPr>
          <w:rFonts w:hint="cs"/>
          <w:rtl/>
        </w:rPr>
        <w:t xml:space="preserve"> </w:t>
      </w:r>
      <w:r w:rsidR="00622CCE">
        <w:rPr>
          <w:rFonts w:hint="cs"/>
          <w:rtl/>
        </w:rPr>
        <w:t>בתחומי מדינת ישראל או בתחומי שליטתה</w:t>
      </w:r>
      <w:r w:rsidR="00EA0FC3">
        <w:rPr>
          <w:rFonts w:hint="cs"/>
          <w:rtl/>
        </w:rPr>
        <w:t xml:space="preserve">, ובכלל זה באזור יהודה שומרון </w:t>
      </w:r>
      <w:r w:rsidR="00BB1452">
        <w:rPr>
          <w:rFonts w:hint="cs"/>
          <w:rtl/>
        </w:rPr>
        <w:t>, ובין מחוץ לישראל</w:t>
      </w:r>
      <w:r w:rsidR="00EA0FC3">
        <w:rPr>
          <w:rFonts w:hint="cs"/>
          <w:rtl/>
        </w:rPr>
        <w:t>.</w:t>
      </w:r>
      <w:r>
        <w:rPr>
          <w:rFonts w:hint="cs"/>
          <w:rtl/>
        </w:rPr>
        <w:t xml:space="preserve"> באשר לישראלים שאינם פועלים בשליחות המדינה, החוק מעניק הגנה כלפי פעילות שנעשתה בתוך תחומי ישראל או </w:t>
      </w:r>
      <w:r w:rsidR="00622CCE">
        <w:rPr>
          <w:rFonts w:hint="cs"/>
          <w:rtl/>
        </w:rPr>
        <w:t>ב</w:t>
      </w:r>
      <w:r>
        <w:rPr>
          <w:rFonts w:hint="cs"/>
          <w:rtl/>
        </w:rPr>
        <w:t>שטחים הנתונים לשליטתה</w:t>
      </w:r>
      <w:r w:rsidR="00EA0FC3">
        <w:rPr>
          <w:rFonts w:hint="cs"/>
          <w:rtl/>
        </w:rPr>
        <w:t>, ובכלל זה באזור יהודה שומרון</w:t>
      </w:r>
      <w:r>
        <w:rPr>
          <w:rFonts w:hint="cs"/>
          <w:rtl/>
        </w:rPr>
        <w:t>.</w:t>
      </w:r>
      <w:r w:rsidR="00622CCE">
        <w:rPr>
          <w:rFonts w:hint="cs"/>
          <w:rtl/>
        </w:rPr>
        <w:t xml:space="preserve"> אם חלילה במעשים אלה יש משום עבירה על החוק, תפעל מדינת ישראל כנגד אותו אדם בא</w:t>
      </w:r>
      <w:r w:rsidR="00EA0FC3">
        <w:rPr>
          <w:rFonts w:hint="cs"/>
          <w:rtl/>
        </w:rPr>
        <w:t>מ</w:t>
      </w:r>
      <w:r w:rsidR="00622CCE">
        <w:rPr>
          <w:rFonts w:hint="cs"/>
          <w:rtl/>
        </w:rPr>
        <w:t>צעות מערכת אכיפת החוק בישראל.</w:t>
      </w:r>
    </w:p>
    <w:p w14:paraId="2D0BABB1" w14:textId="4A3F50AE" w:rsidR="00805D0E" w:rsidRDefault="00805D0E" w:rsidP="00805D0E">
      <w:pPr>
        <w:pStyle w:val="Hesber"/>
        <w:rPr>
          <w:rtl/>
        </w:rPr>
      </w:pPr>
      <w:r>
        <w:rPr>
          <w:rFonts w:hint="cs"/>
          <w:rtl/>
        </w:rPr>
        <w:t>ההגנה העיקרית שהחוק מעניק היא בדרך של איסור גורף על כל רשות ישראלית (למעט בתי משפט במסגרת הליך שיפוטי) לקיים קשר עם בית הדין הפלילי</w:t>
      </w:r>
      <w:r w:rsidR="00EA0FC3">
        <w:rPr>
          <w:rFonts w:hint="cs"/>
          <w:rtl/>
        </w:rPr>
        <w:t xml:space="preserve"> הבין-לאומי בהאג (</w:t>
      </w:r>
      <w:r w:rsidR="00EA0FC3">
        <w:rPr>
          <w:rFonts w:hint="cs"/>
        </w:rPr>
        <w:t>ICC)</w:t>
      </w:r>
      <w:r w:rsidR="00EA0FC3">
        <w:rPr>
          <w:rFonts w:hint="cs"/>
          <w:rtl/>
        </w:rPr>
        <w:t xml:space="preserve"> או כל מוסד בינלאומי עוין אחר</w:t>
      </w:r>
      <w:r>
        <w:rPr>
          <w:rFonts w:hint="cs"/>
          <w:rtl/>
        </w:rPr>
        <w:t>, למעט אם הממשלה החליטה באופן ספציפי לאפשר קשר כזה. בנוסף לכך, החוק מסמיך את הממשלה לנקוט בכל פעולה להביא לשחרורו של מי שנעצר במדינה אחרת בשל הל</w:t>
      </w:r>
      <w:r w:rsidR="00EA0FC3">
        <w:rPr>
          <w:rFonts w:hint="cs"/>
          <w:rtl/>
        </w:rPr>
        <w:t>יך המתנהל נגדו בבית הדין הפלילי הנ"ל או בכל מוסד בין-לאומי עוין אחר.</w:t>
      </w:r>
    </w:p>
    <w:p w14:paraId="60FCDA44" w14:textId="7F12A85C" w:rsidR="00805D0E" w:rsidRDefault="00805D0E" w:rsidP="00303F38">
      <w:pPr>
        <w:pStyle w:val="Hesber"/>
        <w:rPr>
          <w:rtl/>
        </w:rPr>
      </w:pPr>
      <w:r>
        <w:rPr>
          <w:rFonts w:hint="cs"/>
          <w:rtl/>
        </w:rPr>
        <w:t xml:space="preserve">החוק מורה על הפסקת שיתוף פעולה של רשויות ישראליות עם מדינות המסייעות לבית הדין </w:t>
      </w:r>
      <w:r w:rsidR="00EA0FC3">
        <w:rPr>
          <w:rFonts w:hint="cs"/>
          <w:rtl/>
        </w:rPr>
        <w:t xml:space="preserve">הבין-לאומי בהאג ולכל מוסד בין-לאומי עוין אחר </w:t>
      </w:r>
      <w:r>
        <w:rPr>
          <w:rFonts w:hint="cs"/>
          <w:rtl/>
        </w:rPr>
        <w:t xml:space="preserve">בהליך המתנהל נגד ישראל, ואוסר על כל אזרח או תושב ישראל לפנות בתלונה אל </w:t>
      </w:r>
      <w:r w:rsidR="00303F38">
        <w:rPr>
          <w:rFonts w:hint="cs"/>
          <w:rtl/>
        </w:rPr>
        <w:t xml:space="preserve">המוסד הבין-לאומי העוין בין </w:t>
      </w:r>
      <w:r>
        <w:rPr>
          <w:rFonts w:hint="cs"/>
          <w:rtl/>
        </w:rPr>
        <w:t xml:space="preserve">באופן ישיר </w:t>
      </w:r>
      <w:r w:rsidR="00303F38">
        <w:rPr>
          <w:rFonts w:hint="cs"/>
          <w:rtl/>
        </w:rPr>
        <w:t>ובין באופן</w:t>
      </w:r>
      <w:r>
        <w:rPr>
          <w:rFonts w:hint="cs"/>
          <w:rtl/>
        </w:rPr>
        <w:t xml:space="preserve"> עקיף.</w:t>
      </w:r>
    </w:p>
    <w:p w14:paraId="349525C7" w14:textId="77777777" w:rsidR="00303F38" w:rsidRDefault="00805D0E" w:rsidP="00805D0E">
      <w:pPr>
        <w:pStyle w:val="Hesber"/>
        <w:rPr>
          <w:rtl/>
        </w:rPr>
      </w:pPr>
      <w:r>
        <w:rPr>
          <w:rFonts w:hint="cs"/>
          <w:rtl/>
        </w:rPr>
        <w:t>תיקון לחוק ההסגרה</w:t>
      </w:r>
      <w:r w:rsidR="00303F38">
        <w:rPr>
          <w:rFonts w:hint="cs"/>
          <w:rtl/>
        </w:rPr>
        <w:t>,</w:t>
      </w:r>
      <w:r>
        <w:rPr>
          <w:rFonts w:hint="cs"/>
          <w:rtl/>
        </w:rPr>
        <w:t xml:space="preserve"> קובע איסור על הסגרה המתבקשת בשל הליך שמקיים בית הדין הפלילי</w:t>
      </w:r>
      <w:r w:rsidR="00303F38">
        <w:rPr>
          <w:rFonts w:hint="cs"/>
          <w:rtl/>
        </w:rPr>
        <w:t xml:space="preserve"> הבין-לאומי או כל מוסד בין-לאומי עוין אחר</w:t>
      </w:r>
      <w:r>
        <w:rPr>
          <w:rFonts w:hint="cs"/>
          <w:rtl/>
        </w:rPr>
        <w:t xml:space="preserve">. </w:t>
      </w:r>
    </w:p>
    <w:p w14:paraId="59DC967E" w14:textId="14B0467E" w:rsidR="00805D0E" w:rsidRDefault="00805D0E" w:rsidP="00805D0E">
      <w:pPr>
        <w:pStyle w:val="Hesber"/>
        <w:rPr>
          <w:rtl/>
        </w:rPr>
      </w:pPr>
      <w:r>
        <w:rPr>
          <w:rFonts w:hint="cs"/>
          <w:rtl/>
        </w:rPr>
        <w:t>תיקון לחוק הכניסה לישראל אוסר על מתן אשרת שהייה בישראל למי שיש חשד סביר כי הוא פועל בשליחות בית הדין</w:t>
      </w:r>
      <w:r w:rsidR="00303F38">
        <w:rPr>
          <w:rFonts w:hint="cs"/>
          <w:rtl/>
        </w:rPr>
        <w:t xml:space="preserve"> הנ"ל או כל מוסד בין-לאומי כנ"ל</w:t>
      </w:r>
      <w:r>
        <w:rPr>
          <w:rFonts w:hint="cs"/>
          <w:rtl/>
        </w:rPr>
        <w:t xml:space="preserve"> בעניין הליך נגד ישראלים.</w:t>
      </w:r>
    </w:p>
    <w:p w14:paraId="26FEA73C" w14:textId="5E4AD7D3" w:rsidR="00993B7B" w:rsidRDefault="00993B7B" w:rsidP="00805D0E">
      <w:pPr>
        <w:pStyle w:val="Hesber"/>
        <w:rPr>
          <w:rtl/>
        </w:rPr>
      </w:pPr>
    </w:p>
    <w:p w14:paraId="7476BF4F" w14:textId="77777777" w:rsidR="00993B7B" w:rsidRPr="00D73212" w:rsidRDefault="00993B7B" w:rsidP="00993B7B">
      <w:pPr>
        <w:pStyle w:val="Hesber"/>
        <w:ind w:firstLine="0"/>
        <w:rPr>
          <w:rtl/>
        </w:rPr>
      </w:pPr>
      <w:r w:rsidRPr="00D73212">
        <w:rPr>
          <w:rtl/>
        </w:rPr>
        <w:t>---------------------------------</w:t>
      </w:r>
    </w:p>
    <w:p w14:paraId="0A9621C7" w14:textId="77777777" w:rsidR="00993B7B" w:rsidRPr="0051670D" w:rsidRDefault="00993B7B" w:rsidP="00993B7B">
      <w:pPr>
        <w:pStyle w:val="Hesber"/>
        <w:ind w:firstLine="0"/>
        <w:rPr>
          <w:sz w:val="26"/>
          <w:rtl/>
        </w:rPr>
      </w:pPr>
      <w:r w:rsidRPr="0051670D">
        <w:rPr>
          <w:rFonts w:hint="cs"/>
          <w:sz w:val="26"/>
          <w:rtl/>
        </w:rPr>
        <w:t>הוגשה</w:t>
      </w:r>
      <w:r w:rsidRPr="0051670D">
        <w:rPr>
          <w:sz w:val="26"/>
          <w:rtl/>
        </w:rPr>
        <w:t xml:space="preserve"> </w:t>
      </w:r>
      <w:r w:rsidRPr="0051670D">
        <w:rPr>
          <w:rFonts w:hint="cs"/>
          <w:sz w:val="26"/>
          <w:rtl/>
        </w:rPr>
        <w:t>ליו</w:t>
      </w:r>
      <w:r w:rsidRPr="0051670D">
        <w:rPr>
          <w:sz w:val="26"/>
          <w:rtl/>
        </w:rPr>
        <w:t>"</w:t>
      </w:r>
      <w:r w:rsidRPr="0051670D">
        <w:rPr>
          <w:rFonts w:hint="cs"/>
          <w:sz w:val="26"/>
          <w:rtl/>
        </w:rPr>
        <w:t>ר</w:t>
      </w:r>
      <w:r w:rsidRPr="0051670D">
        <w:rPr>
          <w:sz w:val="26"/>
          <w:rtl/>
        </w:rPr>
        <w:t xml:space="preserve"> </w:t>
      </w:r>
      <w:r w:rsidRPr="0051670D">
        <w:rPr>
          <w:rFonts w:hint="cs"/>
          <w:sz w:val="26"/>
          <w:rtl/>
        </w:rPr>
        <w:t>הכנסת</w:t>
      </w:r>
      <w:r w:rsidRPr="0051670D">
        <w:rPr>
          <w:sz w:val="26"/>
          <w:rtl/>
        </w:rPr>
        <w:t xml:space="preserve"> </w:t>
      </w:r>
      <w:r w:rsidRPr="0051670D">
        <w:rPr>
          <w:rFonts w:hint="cs"/>
          <w:sz w:val="26"/>
          <w:rtl/>
        </w:rPr>
        <w:t>והסגנים</w:t>
      </w:r>
    </w:p>
    <w:p w14:paraId="3C9A8E4F" w14:textId="77777777" w:rsidR="00993B7B" w:rsidRPr="0051670D" w:rsidRDefault="00993B7B" w:rsidP="00993B7B">
      <w:pPr>
        <w:pStyle w:val="Hesber"/>
        <w:ind w:firstLine="0"/>
        <w:rPr>
          <w:sz w:val="26"/>
          <w:rtl/>
        </w:rPr>
      </w:pPr>
      <w:r w:rsidRPr="0051670D">
        <w:rPr>
          <w:rFonts w:hint="cs"/>
          <w:sz w:val="26"/>
          <w:rtl/>
        </w:rPr>
        <w:t>והונחה</w:t>
      </w:r>
      <w:r w:rsidRPr="0051670D">
        <w:rPr>
          <w:sz w:val="26"/>
          <w:rtl/>
        </w:rPr>
        <w:t xml:space="preserve"> </w:t>
      </w:r>
      <w:r w:rsidRPr="0051670D">
        <w:rPr>
          <w:rFonts w:hint="cs"/>
          <w:sz w:val="26"/>
          <w:rtl/>
        </w:rPr>
        <w:t>על</w:t>
      </w:r>
      <w:r w:rsidRPr="0051670D">
        <w:rPr>
          <w:sz w:val="26"/>
          <w:rtl/>
        </w:rPr>
        <w:t xml:space="preserve"> </w:t>
      </w:r>
      <w:r w:rsidRPr="0051670D">
        <w:rPr>
          <w:rFonts w:hint="cs"/>
          <w:sz w:val="26"/>
          <w:rtl/>
        </w:rPr>
        <w:t>שולחן</w:t>
      </w:r>
      <w:r w:rsidRPr="0051670D">
        <w:rPr>
          <w:sz w:val="26"/>
          <w:rtl/>
        </w:rPr>
        <w:t xml:space="preserve"> </w:t>
      </w:r>
      <w:r w:rsidRPr="0051670D">
        <w:rPr>
          <w:rFonts w:hint="cs"/>
          <w:sz w:val="26"/>
          <w:rtl/>
        </w:rPr>
        <w:t>הכנסת</w:t>
      </w:r>
      <w:r w:rsidRPr="0051670D">
        <w:rPr>
          <w:sz w:val="26"/>
          <w:rtl/>
        </w:rPr>
        <w:t xml:space="preserve"> </w:t>
      </w:r>
      <w:r w:rsidRPr="0051670D">
        <w:rPr>
          <w:rFonts w:hint="cs"/>
          <w:sz w:val="26"/>
          <w:rtl/>
        </w:rPr>
        <w:t>ביום</w:t>
      </w:r>
    </w:p>
    <w:p w14:paraId="10523D53" w14:textId="77777777" w:rsidR="00993B7B" w:rsidRPr="0051670D" w:rsidRDefault="00993B7B" w:rsidP="00993B7B">
      <w:pPr>
        <w:pStyle w:val="Hesber"/>
        <w:ind w:firstLine="0"/>
        <w:rPr>
          <w:sz w:val="26"/>
          <w:rtl/>
        </w:rPr>
      </w:pPr>
      <w:r>
        <w:rPr>
          <w:rFonts w:hint="cs"/>
          <w:rtl/>
        </w:rPr>
        <w:t>א'</w:t>
      </w:r>
      <w:r w:rsidRPr="0051670D">
        <w:rPr>
          <w:rFonts w:hint="cs"/>
          <w:sz w:val="26"/>
          <w:rtl/>
        </w:rPr>
        <w:t xml:space="preserve"> ב</w:t>
      </w:r>
      <w:r>
        <w:rPr>
          <w:rFonts w:hint="cs"/>
          <w:sz w:val="26"/>
          <w:rtl/>
        </w:rPr>
        <w:t>חשוון</w:t>
      </w:r>
      <w:r w:rsidRPr="0051670D">
        <w:rPr>
          <w:rFonts w:hint="cs"/>
          <w:sz w:val="26"/>
          <w:rtl/>
        </w:rPr>
        <w:t xml:space="preserve"> התש</w:t>
      </w:r>
      <w:r>
        <w:rPr>
          <w:rFonts w:hint="cs"/>
          <w:sz w:val="26"/>
          <w:rtl/>
        </w:rPr>
        <w:t>פ"א</w:t>
      </w:r>
      <w:r w:rsidRPr="0051670D">
        <w:rPr>
          <w:rFonts w:hint="cs"/>
          <w:sz w:val="26"/>
          <w:rtl/>
        </w:rPr>
        <w:t xml:space="preserve"> </w:t>
      </w:r>
      <w:r w:rsidRPr="0051670D">
        <w:rPr>
          <w:sz w:val="26"/>
          <w:rtl/>
        </w:rPr>
        <w:t>–</w:t>
      </w:r>
      <w:r w:rsidRPr="0051670D">
        <w:rPr>
          <w:rFonts w:hint="cs"/>
          <w:sz w:val="26"/>
          <w:rtl/>
        </w:rPr>
        <w:t xml:space="preserve"> </w:t>
      </w:r>
      <w:r>
        <w:rPr>
          <w:rFonts w:hint="cs"/>
          <w:sz w:val="26"/>
          <w:rtl/>
        </w:rPr>
        <w:t>19.10.20</w:t>
      </w:r>
    </w:p>
    <w:p w14:paraId="22ACE7F1" w14:textId="77777777" w:rsidR="00993B7B" w:rsidRDefault="00993B7B" w:rsidP="00805D0E">
      <w:pPr>
        <w:pStyle w:val="Hesber"/>
        <w:rPr>
          <w:rtl/>
        </w:rPr>
      </w:pPr>
    </w:p>
    <w:p w14:paraId="7F6961CB" w14:textId="77777777" w:rsidR="00E13C27" w:rsidRPr="00805D0E" w:rsidRDefault="00E13C27" w:rsidP="00805D0E">
      <w:pPr>
        <w:pStyle w:val="Hesber"/>
        <w:rPr>
          <w:rtl/>
        </w:rPr>
      </w:pPr>
    </w:p>
    <w:sectPr w:rsidR="00E13C27" w:rsidRPr="00805D0E" w:rsidSect="00F74CCC">
      <w:footerReference w:type="even" r:id="rId11"/>
      <w:footerReference w:type="default" r:id="rId12"/>
      <w:pgSz w:w="11907" w:h="16840" w:code="9"/>
      <w:pgMar w:top="1134" w:right="1134" w:bottom="1417" w:left="1134" w:header="680" w:footer="680" w:gutter="0"/>
      <w:cols w:space="720"/>
      <w:noEndnote/>
      <w:titlePg/>
      <w:bidi/>
      <w:rtlGutter/>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A26B4C1" w14:textId="77777777" w:rsidR="00D142D3" w:rsidRDefault="00D142D3">
      <w:r>
        <w:separator/>
      </w:r>
    </w:p>
  </w:endnote>
  <w:endnote w:type="continuationSeparator" w:id="0">
    <w:p w14:paraId="0E546755" w14:textId="77777777" w:rsidR="00D142D3" w:rsidRDefault="00D142D3">
      <w:r>
        <w:continuationSeparator/>
      </w:r>
    </w:p>
  </w:endnote>
  <w:endnote w:type="continuationNotice" w:id="1">
    <w:p w14:paraId="24369900" w14:textId="77777777" w:rsidR="00D142D3" w:rsidRDefault="00D142D3">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avid">
    <w:panose1 w:val="020E0502060401010101"/>
    <w:charset w:val="00"/>
    <w:family w:val="swiss"/>
    <w:pitch w:val="variable"/>
    <w:sig w:usb0="00000803" w:usb1="00000000" w:usb2="00000000" w:usb3="00000000" w:csb0="00000021"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6961D5" w14:textId="77777777" w:rsidR="002C3041" w:rsidRDefault="002C3041" w:rsidP="001207F8">
    <w:pPr>
      <w:pStyle w:val="a8"/>
      <w:framePr w:wrap="around" w:vAnchor="text" w:hAnchor="text" w:xAlign="center" w:y="1"/>
      <w:rPr>
        <w:rStyle w:val="aa"/>
      </w:rPr>
    </w:pPr>
    <w:r>
      <w:rPr>
        <w:rStyle w:val="aa"/>
        <w:rtl/>
      </w:rPr>
      <w:fldChar w:fldCharType="begin"/>
    </w:r>
    <w:r>
      <w:rPr>
        <w:rStyle w:val="aa"/>
      </w:rPr>
      <w:instrText xml:space="preserve">PAGE  </w:instrText>
    </w:r>
    <w:r>
      <w:rPr>
        <w:rStyle w:val="aa"/>
        <w:rtl/>
      </w:rPr>
      <w:fldChar w:fldCharType="end"/>
    </w:r>
  </w:p>
  <w:p w14:paraId="7F6961D6" w14:textId="77777777" w:rsidR="002C3041" w:rsidRDefault="002C3041">
    <w:pPr>
      <w:pStyle w:val="a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6961D7" w14:textId="77777777" w:rsidR="002C3041" w:rsidRDefault="002C3041" w:rsidP="001207F8">
    <w:pPr>
      <w:pStyle w:val="a8"/>
      <w:framePr w:wrap="around" w:vAnchor="text" w:hAnchor="text" w:xAlign="center" w:y="1"/>
      <w:rPr>
        <w:rStyle w:val="aa"/>
      </w:rPr>
    </w:pPr>
    <w:r>
      <w:rPr>
        <w:rStyle w:val="aa"/>
        <w:rtl/>
      </w:rPr>
      <w:fldChar w:fldCharType="begin"/>
    </w:r>
    <w:r>
      <w:rPr>
        <w:rStyle w:val="aa"/>
      </w:rPr>
      <w:instrText xml:space="preserve">PAGE  </w:instrText>
    </w:r>
    <w:r>
      <w:rPr>
        <w:rStyle w:val="aa"/>
        <w:rtl/>
      </w:rPr>
      <w:fldChar w:fldCharType="separate"/>
    </w:r>
    <w:r w:rsidR="00F74CCC">
      <w:rPr>
        <w:rStyle w:val="aa"/>
        <w:noProof/>
        <w:rtl/>
      </w:rPr>
      <w:t>2</w:t>
    </w:r>
    <w:r>
      <w:rPr>
        <w:rStyle w:val="aa"/>
        <w:rtl/>
      </w:rPr>
      <w:fldChar w:fldCharType="end"/>
    </w:r>
  </w:p>
  <w:p w14:paraId="7F6961D8" w14:textId="77777777" w:rsidR="002C3041" w:rsidRDefault="002C3041">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98674C0" w14:textId="77777777" w:rsidR="00D142D3" w:rsidRDefault="00D142D3" w:rsidP="00942EA5">
      <w:pPr>
        <w:ind w:left="0"/>
      </w:pPr>
      <w:r>
        <w:separator/>
      </w:r>
    </w:p>
  </w:footnote>
  <w:footnote w:type="continuationSeparator" w:id="0">
    <w:p w14:paraId="401CF485" w14:textId="77777777" w:rsidR="00D142D3" w:rsidRDefault="00D142D3">
      <w:r>
        <w:continuationSeparator/>
      </w:r>
    </w:p>
  </w:footnote>
  <w:footnote w:type="continuationNotice" w:id="1">
    <w:p w14:paraId="173A6451" w14:textId="77777777" w:rsidR="00D142D3" w:rsidRDefault="00D142D3"/>
  </w:footnote>
  <w:footnote w:id="2">
    <w:p w14:paraId="5C2BC911" w14:textId="1EA81BC7" w:rsidR="004631DC" w:rsidRDefault="004631DC">
      <w:pPr>
        <w:pStyle w:val="a4"/>
      </w:pPr>
      <w:r>
        <w:rPr>
          <w:rStyle w:val="a5"/>
        </w:rPr>
        <w:footnoteRef/>
      </w:r>
      <w:r>
        <w:rPr>
          <w:rtl/>
        </w:rPr>
        <w:t xml:space="preserve"> </w:t>
      </w:r>
      <w:r w:rsidR="008002D0">
        <w:rPr>
          <w:rFonts w:hint="cs"/>
          <w:rtl/>
        </w:rPr>
        <w:t xml:space="preserve">ס"ח </w:t>
      </w:r>
      <w:r w:rsidR="00133CA7">
        <w:rPr>
          <w:rFonts w:hint="cs"/>
          <w:rtl/>
        </w:rPr>
        <w:t>ה</w:t>
      </w:r>
      <w:r w:rsidR="008002D0">
        <w:rPr>
          <w:rFonts w:hint="cs"/>
          <w:rtl/>
        </w:rPr>
        <w:t xml:space="preserve">תשס"ב, </w:t>
      </w:r>
      <w:r w:rsidR="00133CA7" w:rsidRPr="00133CA7">
        <w:rPr>
          <w:rtl/>
        </w:rPr>
        <w:t>עמ' 590</w:t>
      </w:r>
      <w:r w:rsidR="00133CA7">
        <w:rPr>
          <w:rFonts w:hint="cs"/>
          <w:rtl/>
        </w:rPr>
        <w:t>.</w:t>
      </w:r>
    </w:p>
  </w:footnote>
  <w:footnote w:id="3">
    <w:p w14:paraId="5128B618" w14:textId="323E56CB" w:rsidR="002A189F" w:rsidRDefault="002A189F">
      <w:pPr>
        <w:pStyle w:val="a4"/>
      </w:pPr>
      <w:r>
        <w:rPr>
          <w:rStyle w:val="a5"/>
        </w:rPr>
        <w:footnoteRef/>
      </w:r>
      <w:r>
        <w:rPr>
          <w:rtl/>
        </w:rPr>
        <w:t xml:space="preserve"> </w:t>
      </w:r>
      <w:r>
        <w:rPr>
          <w:rFonts w:hint="cs"/>
          <w:rtl/>
        </w:rPr>
        <w:t xml:space="preserve">ס"ח </w:t>
      </w:r>
      <w:r w:rsidR="00A03A4D">
        <w:rPr>
          <w:rFonts w:hint="cs"/>
          <w:rtl/>
        </w:rPr>
        <w:t>ה</w:t>
      </w:r>
      <w:r>
        <w:rPr>
          <w:rFonts w:hint="cs"/>
          <w:rtl/>
        </w:rPr>
        <w:t xml:space="preserve">תשי"ד, </w:t>
      </w:r>
      <w:r w:rsidR="00AF79E9">
        <w:rPr>
          <w:rFonts w:hint="cs"/>
          <w:rtl/>
        </w:rPr>
        <w:t>עמ' 208.</w:t>
      </w:r>
    </w:p>
  </w:footnote>
  <w:footnote w:id="4">
    <w:p w14:paraId="0A5950F1" w14:textId="1C9477C0" w:rsidR="002A189F" w:rsidRDefault="002A189F">
      <w:pPr>
        <w:pStyle w:val="a4"/>
      </w:pPr>
      <w:r>
        <w:rPr>
          <w:rStyle w:val="a5"/>
        </w:rPr>
        <w:footnoteRef/>
      </w:r>
      <w:r>
        <w:rPr>
          <w:rtl/>
        </w:rPr>
        <w:t xml:space="preserve"> </w:t>
      </w:r>
      <w:r>
        <w:rPr>
          <w:rFonts w:hint="cs"/>
          <w:rtl/>
        </w:rPr>
        <w:t xml:space="preserve">ס"ח </w:t>
      </w:r>
      <w:r w:rsidR="00A03A4D">
        <w:rPr>
          <w:rFonts w:hint="cs"/>
          <w:rtl/>
        </w:rPr>
        <w:t>ה</w:t>
      </w:r>
      <w:r>
        <w:rPr>
          <w:rFonts w:hint="cs"/>
          <w:rtl/>
        </w:rPr>
        <w:t xml:space="preserve">תשי"ב, </w:t>
      </w:r>
      <w:r w:rsidR="00451D69">
        <w:rPr>
          <w:rFonts w:hint="cs"/>
          <w:rtl/>
        </w:rPr>
        <w:t>עמ' 354.</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A494355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8A2EB9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2E00DC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FD24BF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916852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5CA2E0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AEA33E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58CFFC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F38A53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5B8527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ED55BF"/>
    <w:multiLevelType w:val="hybridMultilevel"/>
    <w:tmpl w:val="845409DE"/>
    <w:lvl w:ilvl="0" w:tplc="08F28FA4">
      <w:start w:val="1"/>
      <w:numFmt w:val="decimal"/>
      <w:lvlRestart w:val="0"/>
      <w:lvlText w:val="(%1)"/>
      <w:lvlJc w:val="left"/>
      <w:pPr>
        <w:tabs>
          <w:tab w:val="num" w:pos="624"/>
        </w:tabs>
        <w:ind w:left="0" w:firstLine="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8932DBD"/>
    <w:multiLevelType w:val="hybridMultilevel"/>
    <w:tmpl w:val="C76AB1AA"/>
    <w:lvl w:ilvl="0" w:tplc="5754A73E">
      <w:start w:val="1"/>
      <w:numFmt w:val="hebrew1"/>
      <w:lvlRestart w:val="0"/>
      <w:lvlText w:val="(%1)"/>
      <w:lvlJc w:val="left"/>
      <w:pPr>
        <w:tabs>
          <w:tab w:val="num" w:pos="624"/>
        </w:tabs>
        <w:ind w:left="0" w:firstLine="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4E543E7"/>
    <w:multiLevelType w:val="hybridMultilevel"/>
    <w:tmpl w:val="EFC600A2"/>
    <w:lvl w:ilvl="0" w:tplc="D3944ED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5504462"/>
    <w:multiLevelType w:val="hybridMultilevel"/>
    <w:tmpl w:val="28FE0892"/>
    <w:lvl w:ilvl="0" w:tplc="923A272C">
      <w:start w:val="1"/>
      <w:numFmt w:val="decimal"/>
      <w:lvlRestart w:val="0"/>
      <w:lvlText w:val="(%1)"/>
      <w:lvlJc w:val="left"/>
      <w:pPr>
        <w:tabs>
          <w:tab w:val="num" w:pos="624"/>
        </w:tabs>
        <w:ind w:left="0" w:firstLine="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7972A86"/>
    <w:multiLevelType w:val="hybridMultilevel"/>
    <w:tmpl w:val="0D5028AE"/>
    <w:lvl w:ilvl="0" w:tplc="FB92B186">
      <w:start w:val="1"/>
      <w:numFmt w:val="decimal"/>
      <w:lvlText w:val="%1."/>
      <w:lvlJc w:val="left"/>
      <w:pPr>
        <w:ind w:left="700" w:hanging="360"/>
      </w:pPr>
      <w:rPr>
        <w:rFonts w:hint="default"/>
      </w:rPr>
    </w:lvl>
    <w:lvl w:ilvl="1" w:tplc="04090019" w:tentative="1">
      <w:start w:val="1"/>
      <w:numFmt w:val="lowerLetter"/>
      <w:lvlText w:val="%2."/>
      <w:lvlJc w:val="left"/>
      <w:pPr>
        <w:ind w:left="1420" w:hanging="360"/>
      </w:pPr>
    </w:lvl>
    <w:lvl w:ilvl="2" w:tplc="0409001B" w:tentative="1">
      <w:start w:val="1"/>
      <w:numFmt w:val="lowerRoman"/>
      <w:lvlText w:val="%3."/>
      <w:lvlJc w:val="right"/>
      <w:pPr>
        <w:ind w:left="2140" w:hanging="180"/>
      </w:pPr>
    </w:lvl>
    <w:lvl w:ilvl="3" w:tplc="0409000F" w:tentative="1">
      <w:start w:val="1"/>
      <w:numFmt w:val="decimal"/>
      <w:lvlText w:val="%4."/>
      <w:lvlJc w:val="left"/>
      <w:pPr>
        <w:ind w:left="2860" w:hanging="360"/>
      </w:pPr>
    </w:lvl>
    <w:lvl w:ilvl="4" w:tplc="04090019" w:tentative="1">
      <w:start w:val="1"/>
      <w:numFmt w:val="lowerLetter"/>
      <w:lvlText w:val="%5."/>
      <w:lvlJc w:val="left"/>
      <w:pPr>
        <w:ind w:left="3580" w:hanging="360"/>
      </w:pPr>
    </w:lvl>
    <w:lvl w:ilvl="5" w:tplc="0409001B" w:tentative="1">
      <w:start w:val="1"/>
      <w:numFmt w:val="lowerRoman"/>
      <w:lvlText w:val="%6."/>
      <w:lvlJc w:val="right"/>
      <w:pPr>
        <w:ind w:left="4300" w:hanging="180"/>
      </w:pPr>
    </w:lvl>
    <w:lvl w:ilvl="6" w:tplc="0409000F" w:tentative="1">
      <w:start w:val="1"/>
      <w:numFmt w:val="decimal"/>
      <w:lvlText w:val="%7."/>
      <w:lvlJc w:val="left"/>
      <w:pPr>
        <w:ind w:left="5020" w:hanging="360"/>
      </w:pPr>
    </w:lvl>
    <w:lvl w:ilvl="7" w:tplc="04090019" w:tentative="1">
      <w:start w:val="1"/>
      <w:numFmt w:val="lowerLetter"/>
      <w:lvlText w:val="%8."/>
      <w:lvlJc w:val="left"/>
      <w:pPr>
        <w:ind w:left="5740" w:hanging="360"/>
      </w:pPr>
    </w:lvl>
    <w:lvl w:ilvl="8" w:tplc="0409001B" w:tentative="1">
      <w:start w:val="1"/>
      <w:numFmt w:val="lowerRoman"/>
      <w:lvlText w:val="%9."/>
      <w:lvlJc w:val="right"/>
      <w:pPr>
        <w:ind w:left="6460" w:hanging="180"/>
      </w:pPr>
    </w:lvl>
  </w:abstractNum>
  <w:abstractNum w:abstractNumId="15" w15:restartNumberingAfterBreak="0">
    <w:nsid w:val="1CDD78F3"/>
    <w:multiLevelType w:val="hybridMultilevel"/>
    <w:tmpl w:val="9E4C4E42"/>
    <w:lvl w:ilvl="0" w:tplc="861C87C0">
      <w:start w:val="1"/>
      <w:numFmt w:val="decimal"/>
      <w:lvlText w:val="(%1)"/>
      <w:lvlJc w:val="left"/>
      <w:pPr>
        <w:tabs>
          <w:tab w:val="num" w:pos="624"/>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1FB0598A"/>
    <w:multiLevelType w:val="hybridMultilevel"/>
    <w:tmpl w:val="746CCEE6"/>
    <w:lvl w:ilvl="0" w:tplc="040D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1FE67D84"/>
    <w:multiLevelType w:val="hybridMultilevel"/>
    <w:tmpl w:val="FBD02064"/>
    <w:lvl w:ilvl="0" w:tplc="BB760CFA">
      <w:start w:val="1"/>
      <w:numFmt w:val="decimal"/>
      <w:lvlRestart w:val="0"/>
      <w:lvlText w:val="(%1)"/>
      <w:lvlJc w:val="left"/>
      <w:pPr>
        <w:tabs>
          <w:tab w:val="num" w:pos="624"/>
        </w:tabs>
        <w:ind w:left="0" w:firstLine="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B4C4EEF"/>
    <w:multiLevelType w:val="hybridMultilevel"/>
    <w:tmpl w:val="E0B05180"/>
    <w:lvl w:ilvl="0" w:tplc="67BE67FA">
      <w:start w:val="1"/>
      <w:numFmt w:val="hebrew1"/>
      <w:lvlRestart w:val="0"/>
      <w:lvlText w:val="(%1)"/>
      <w:lvlJc w:val="left"/>
      <w:pPr>
        <w:tabs>
          <w:tab w:val="num" w:pos="624"/>
        </w:tabs>
        <w:ind w:left="0" w:firstLine="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0E50618"/>
    <w:multiLevelType w:val="hybridMultilevel"/>
    <w:tmpl w:val="B43A8830"/>
    <w:lvl w:ilvl="0" w:tplc="44D4E744">
      <w:start w:val="1"/>
      <w:numFmt w:val="decimal"/>
      <w:lvlText w:val="(%1)"/>
      <w:lvlJc w:val="left"/>
      <w:pPr>
        <w:ind w:left="720" w:hanging="360"/>
      </w:pPr>
      <w:rPr>
        <w:rFonts w:hint="default"/>
        <w:sz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9DE0652"/>
    <w:multiLevelType w:val="hybridMultilevel"/>
    <w:tmpl w:val="30163358"/>
    <w:lvl w:ilvl="0" w:tplc="150CBEF4">
      <w:start w:val="1"/>
      <w:numFmt w:val="decimal"/>
      <w:lvlText w:val="(%1)"/>
      <w:lvlJc w:val="left"/>
      <w:pPr>
        <w:ind w:left="720" w:hanging="360"/>
      </w:pPr>
      <w:rPr>
        <w:rFonts w:hint="default"/>
        <w:sz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55A2B35"/>
    <w:multiLevelType w:val="hybridMultilevel"/>
    <w:tmpl w:val="F61ADD04"/>
    <w:lvl w:ilvl="0" w:tplc="EFC26F30">
      <w:start w:val="1"/>
      <w:numFmt w:val="hebrew1"/>
      <w:pStyle w:val="4"/>
      <w:suff w:val="space"/>
      <w:lvlText w:val="%1."/>
      <w:lvlJc w:val="left"/>
      <w:pPr>
        <w:ind w:left="0" w:firstLine="0"/>
      </w:pPr>
      <w:rPr>
        <w:rFonts w:hint="default"/>
      </w:rPr>
    </w:lvl>
    <w:lvl w:ilvl="1" w:tplc="D3D4E8B2">
      <w:start w:val="1"/>
      <w:numFmt w:val="decimal"/>
      <w:lvlText w:val="(%2)"/>
      <w:lvlJc w:val="left"/>
      <w:pPr>
        <w:tabs>
          <w:tab w:val="num" w:pos="624"/>
        </w:tabs>
        <w:ind w:left="0" w:firstLine="0"/>
      </w:pPr>
      <w:rPr>
        <w:rFonts w:hint="default"/>
      </w:rPr>
    </w:lvl>
    <w:lvl w:ilvl="2" w:tplc="5D2AB1E4">
      <w:start w:val="1"/>
      <w:numFmt w:val="hebrew1"/>
      <w:lvlText w:val="(%3)"/>
      <w:lvlJc w:val="left"/>
      <w:pPr>
        <w:tabs>
          <w:tab w:val="num" w:pos="624"/>
        </w:tabs>
        <w:ind w:left="0" w:firstLine="0"/>
      </w:pPr>
      <w:rPr>
        <w:rFonts w:hint="default"/>
      </w:rPr>
    </w:lvl>
    <w:lvl w:ilvl="3" w:tplc="1F820BA4">
      <w:start w:val="1"/>
      <w:numFmt w:val="hebrew1"/>
      <w:lvlRestart w:val="0"/>
      <w:lvlText w:val="(%4)"/>
      <w:lvlJc w:val="left"/>
      <w:pPr>
        <w:tabs>
          <w:tab w:val="num" w:pos="624"/>
        </w:tabs>
        <w:ind w:left="0" w:firstLine="0"/>
      </w:pPr>
      <w:rPr>
        <w:rFonts w:hint="default"/>
      </w:rPr>
    </w:lvl>
    <w:lvl w:ilvl="4" w:tplc="62C6E096">
      <w:start w:val="1"/>
      <w:numFmt w:val="decimal"/>
      <w:lvlRestart w:val="0"/>
      <w:lvlText w:val="(%5)"/>
      <w:lvlJc w:val="left"/>
      <w:pPr>
        <w:tabs>
          <w:tab w:val="num" w:pos="3864"/>
        </w:tabs>
        <w:ind w:left="3240" w:firstLine="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5B3B28B0"/>
    <w:multiLevelType w:val="hybridMultilevel"/>
    <w:tmpl w:val="41ACEA96"/>
    <w:lvl w:ilvl="0" w:tplc="06A8C010">
      <w:start w:val="1"/>
      <w:numFmt w:val="decimal"/>
      <w:pStyle w:val="TOC3"/>
      <w:lvlText w:val="%1."/>
      <w:lvlJc w:val="left"/>
      <w:pPr>
        <w:ind w:left="1287" w:hanging="360"/>
      </w:pPr>
      <w:rPr>
        <w:rFonts w:cs="David" w:hint="default"/>
        <w:bCs w:val="0"/>
        <w:iCs w:val="0"/>
        <w:szCs w:val="24"/>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3" w15:restartNumberingAfterBreak="0">
    <w:nsid w:val="5BB751FB"/>
    <w:multiLevelType w:val="hybridMultilevel"/>
    <w:tmpl w:val="24728AFC"/>
    <w:lvl w:ilvl="0" w:tplc="20F2629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C7E5FF8"/>
    <w:multiLevelType w:val="hybridMultilevel"/>
    <w:tmpl w:val="7CF8C372"/>
    <w:lvl w:ilvl="0" w:tplc="A000C156">
      <w:start w:val="1"/>
      <w:numFmt w:val="hebrew1"/>
      <w:lvlRestart w:val="0"/>
      <w:lvlText w:val="(%1)"/>
      <w:lvlJc w:val="left"/>
      <w:pPr>
        <w:tabs>
          <w:tab w:val="num" w:pos="624"/>
        </w:tabs>
        <w:ind w:left="0" w:firstLine="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D702A24"/>
    <w:multiLevelType w:val="hybridMultilevel"/>
    <w:tmpl w:val="D1DA547E"/>
    <w:lvl w:ilvl="0" w:tplc="89783384">
      <w:start w:val="1"/>
      <w:numFmt w:val="decimal"/>
      <w:lvlRestart w:val="0"/>
      <w:lvlText w:val="(%1)"/>
      <w:lvlJc w:val="left"/>
      <w:pPr>
        <w:tabs>
          <w:tab w:val="num" w:pos="624"/>
        </w:tabs>
        <w:ind w:left="0" w:firstLine="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20E4207"/>
    <w:multiLevelType w:val="hybridMultilevel"/>
    <w:tmpl w:val="EFC600A2"/>
    <w:lvl w:ilvl="0" w:tplc="D3944ED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53C544D"/>
    <w:multiLevelType w:val="hybridMultilevel"/>
    <w:tmpl w:val="C7443990"/>
    <w:lvl w:ilvl="0" w:tplc="0409000F">
      <w:start w:val="1"/>
      <w:numFmt w:val="decimal"/>
      <w:lvlText w:val="%1."/>
      <w:lvlJc w:val="left"/>
      <w:pPr>
        <w:tabs>
          <w:tab w:val="num" w:pos="0"/>
        </w:tabs>
        <w:ind w:left="0" w:firstLine="0"/>
      </w:pPr>
      <w:rPr>
        <w:rFonts w:hint="default"/>
      </w:rPr>
    </w:lvl>
    <w:lvl w:ilvl="1" w:tplc="D3D4E8B2">
      <w:start w:val="1"/>
      <w:numFmt w:val="decimal"/>
      <w:lvlText w:val="(%2)"/>
      <w:lvlJc w:val="left"/>
      <w:pPr>
        <w:tabs>
          <w:tab w:val="num" w:pos="624"/>
        </w:tabs>
        <w:ind w:left="0" w:firstLine="0"/>
      </w:pPr>
      <w:rPr>
        <w:rFonts w:hint="default"/>
      </w:rPr>
    </w:lvl>
    <w:lvl w:ilvl="2" w:tplc="5D2AB1E4">
      <w:start w:val="1"/>
      <w:numFmt w:val="hebrew1"/>
      <w:lvlText w:val="(%3)"/>
      <w:lvlJc w:val="left"/>
      <w:pPr>
        <w:tabs>
          <w:tab w:val="num" w:pos="624"/>
        </w:tabs>
        <w:ind w:left="0" w:firstLine="0"/>
      </w:pPr>
      <w:rPr>
        <w:rFonts w:hint="default"/>
      </w:rPr>
    </w:lvl>
    <w:lvl w:ilvl="3" w:tplc="1F820BA4">
      <w:start w:val="1"/>
      <w:numFmt w:val="hebrew1"/>
      <w:lvlRestart w:val="0"/>
      <w:lvlText w:val="(%4)"/>
      <w:lvlJc w:val="left"/>
      <w:pPr>
        <w:tabs>
          <w:tab w:val="num" w:pos="624"/>
        </w:tabs>
        <w:ind w:left="0" w:firstLine="0"/>
      </w:pPr>
      <w:rPr>
        <w:rFonts w:hint="default"/>
      </w:rPr>
    </w:lvl>
    <w:lvl w:ilvl="4" w:tplc="62C6E096">
      <w:start w:val="1"/>
      <w:numFmt w:val="decimal"/>
      <w:lvlRestart w:val="0"/>
      <w:lvlText w:val="(%5)"/>
      <w:lvlJc w:val="left"/>
      <w:pPr>
        <w:tabs>
          <w:tab w:val="num" w:pos="3864"/>
        </w:tabs>
        <w:ind w:left="3240" w:firstLine="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75C858E4"/>
    <w:multiLevelType w:val="hybridMultilevel"/>
    <w:tmpl w:val="882C6ED4"/>
    <w:lvl w:ilvl="0" w:tplc="4112A21E">
      <w:start w:val="1"/>
      <w:numFmt w:val="hebrew1"/>
      <w:lvlRestart w:val="0"/>
      <w:lvlText w:val="(%1)"/>
      <w:lvlJc w:val="left"/>
      <w:pPr>
        <w:tabs>
          <w:tab w:val="num" w:pos="624"/>
        </w:tabs>
        <w:ind w:left="0" w:firstLine="0"/>
      </w:pPr>
      <w:rPr>
        <w:rFonts w:hint="default"/>
      </w:rPr>
    </w:lvl>
    <w:lvl w:ilvl="1" w:tplc="49082BE6">
      <w:start w:val="1"/>
      <w:numFmt w:val="decimal"/>
      <w:lvlRestart w:val="0"/>
      <w:lvlText w:val="(%2)"/>
      <w:lvlJc w:val="left"/>
      <w:pPr>
        <w:tabs>
          <w:tab w:val="num" w:pos="1704"/>
        </w:tabs>
        <w:ind w:left="1080" w:firstLine="0"/>
      </w:pPr>
      <w:rPr>
        <w:rFonts w:hint="default"/>
      </w:rPr>
    </w:lvl>
    <w:lvl w:ilvl="2" w:tplc="48C06176">
      <w:start w:val="1"/>
      <w:numFmt w:val="decimal"/>
      <w:lvlRestart w:val="0"/>
      <w:lvlText w:val="(%3)"/>
      <w:lvlJc w:val="left"/>
      <w:pPr>
        <w:tabs>
          <w:tab w:val="num" w:pos="2604"/>
        </w:tabs>
        <w:ind w:left="1980" w:firstLine="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7E345FF3"/>
    <w:multiLevelType w:val="hybridMultilevel"/>
    <w:tmpl w:val="90102CC4"/>
    <w:lvl w:ilvl="0" w:tplc="BE4C13AC">
      <w:start w:val="1"/>
      <w:numFmt w:val="decimal"/>
      <w:lvlRestart w:val="0"/>
      <w:lvlText w:val="(%1)"/>
      <w:lvlJc w:val="left"/>
      <w:pPr>
        <w:tabs>
          <w:tab w:val="num" w:pos="624"/>
        </w:tabs>
        <w:ind w:left="0" w:firstLine="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F855B91"/>
    <w:multiLevelType w:val="hybridMultilevel"/>
    <w:tmpl w:val="24728AFC"/>
    <w:lvl w:ilvl="0" w:tplc="20F2629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6"/>
  </w:num>
  <w:num w:numId="12">
    <w:abstractNumId w:val="27"/>
  </w:num>
  <w:num w:numId="13">
    <w:abstractNumId w:val="15"/>
  </w:num>
  <w:num w:numId="14">
    <w:abstractNumId w:val="28"/>
  </w:num>
  <w:num w:numId="15">
    <w:abstractNumId w:val="13"/>
  </w:num>
  <w:num w:numId="16">
    <w:abstractNumId w:val="12"/>
  </w:num>
  <w:num w:numId="17">
    <w:abstractNumId w:val="24"/>
  </w:num>
  <w:num w:numId="18">
    <w:abstractNumId w:val="18"/>
  </w:num>
  <w:num w:numId="19">
    <w:abstractNumId w:val="19"/>
  </w:num>
  <w:num w:numId="20">
    <w:abstractNumId w:val="29"/>
  </w:num>
  <w:num w:numId="21">
    <w:abstractNumId w:val="20"/>
  </w:num>
  <w:num w:numId="22">
    <w:abstractNumId w:val="23"/>
  </w:num>
  <w:num w:numId="23">
    <w:abstractNumId w:val="11"/>
  </w:num>
  <w:num w:numId="24">
    <w:abstractNumId w:val="25"/>
  </w:num>
  <w:num w:numId="25">
    <w:abstractNumId w:val="10"/>
  </w:num>
  <w:num w:numId="26">
    <w:abstractNumId w:val="30"/>
  </w:num>
  <w:num w:numId="27">
    <w:abstractNumId w:val="17"/>
  </w:num>
  <w:num w:numId="28">
    <w:abstractNumId w:val="26"/>
  </w:num>
  <w:num w:numId="29">
    <w:abstractNumId w:val="21"/>
  </w:num>
  <w:num w:numId="30">
    <w:abstractNumId w:val="21"/>
    <w:lvlOverride w:ilvl="0">
      <w:startOverride w:val="1"/>
    </w:lvlOverride>
  </w:num>
  <w:num w:numId="31">
    <w:abstractNumId w:val="14"/>
  </w:num>
  <w:num w:numId="3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stylePaneFormatFilter w:val="0002" w:allStyles="0" w:customStyles="1"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OriginalName" w:val="tmp482240lsCopyOriginal.docx"/>
    <w:docVar w:name="StartMode" w:val="2"/>
  </w:docVars>
  <w:rsids>
    <w:rsidRoot w:val="00DB7060"/>
    <w:rsid w:val="0000131B"/>
    <w:rsid w:val="00015B27"/>
    <w:rsid w:val="00063A3E"/>
    <w:rsid w:val="00072CAC"/>
    <w:rsid w:val="0007681A"/>
    <w:rsid w:val="00091174"/>
    <w:rsid w:val="000A542E"/>
    <w:rsid w:val="000C6476"/>
    <w:rsid w:val="000E5856"/>
    <w:rsid w:val="000F434D"/>
    <w:rsid w:val="00102B6B"/>
    <w:rsid w:val="001052D4"/>
    <w:rsid w:val="0010644B"/>
    <w:rsid w:val="001207F8"/>
    <w:rsid w:val="00121924"/>
    <w:rsid w:val="001279A8"/>
    <w:rsid w:val="00133CA7"/>
    <w:rsid w:val="0014195F"/>
    <w:rsid w:val="00143C44"/>
    <w:rsid w:val="00152609"/>
    <w:rsid w:val="00153E1B"/>
    <w:rsid w:val="001A0623"/>
    <w:rsid w:val="001C23B0"/>
    <w:rsid w:val="001D7AAF"/>
    <w:rsid w:val="00203A7F"/>
    <w:rsid w:val="0021633A"/>
    <w:rsid w:val="002200A1"/>
    <w:rsid w:val="002362BF"/>
    <w:rsid w:val="00241B97"/>
    <w:rsid w:val="002425D1"/>
    <w:rsid w:val="00246756"/>
    <w:rsid w:val="00251E58"/>
    <w:rsid w:val="00254605"/>
    <w:rsid w:val="002569AF"/>
    <w:rsid w:val="00266D86"/>
    <w:rsid w:val="002728B4"/>
    <w:rsid w:val="0027600C"/>
    <w:rsid w:val="00292712"/>
    <w:rsid w:val="002A189F"/>
    <w:rsid w:val="002A487D"/>
    <w:rsid w:val="002C2E29"/>
    <w:rsid w:val="002C3041"/>
    <w:rsid w:val="002D1EE3"/>
    <w:rsid w:val="002F1D80"/>
    <w:rsid w:val="00303F38"/>
    <w:rsid w:val="003232A2"/>
    <w:rsid w:val="00325C14"/>
    <w:rsid w:val="0036422C"/>
    <w:rsid w:val="003710F6"/>
    <w:rsid w:val="00386E88"/>
    <w:rsid w:val="00396585"/>
    <w:rsid w:val="003C17C5"/>
    <w:rsid w:val="003D0404"/>
    <w:rsid w:val="003D6E38"/>
    <w:rsid w:val="003D74A0"/>
    <w:rsid w:val="003E6B7E"/>
    <w:rsid w:val="004033D8"/>
    <w:rsid w:val="004073F0"/>
    <w:rsid w:val="00412A7D"/>
    <w:rsid w:val="00416B4D"/>
    <w:rsid w:val="0041706C"/>
    <w:rsid w:val="00417CFC"/>
    <w:rsid w:val="00451D69"/>
    <w:rsid w:val="004631DC"/>
    <w:rsid w:val="004A06DC"/>
    <w:rsid w:val="004A724F"/>
    <w:rsid w:val="004B24ED"/>
    <w:rsid w:val="004B6625"/>
    <w:rsid w:val="004D2D82"/>
    <w:rsid w:val="004D3876"/>
    <w:rsid w:val="004E4552"/>
    <w:rsid w:val="004E6CDF"/>
    <w:rsid w:val="005040CD"/>
    <w:rsid w:val="005072AD"/>
    <w:rsid w:val="00553C9D"/>
    <w:rsid w:val="00562A66"/>
    <w:rsid w:val="005B064E"/>
    <w:rsid w:val="005D51AE"/>
    <w:rsid w:val="005E3E63"/>
    <w:rsid w:val="00620943"/>
    <w:rsid w:val="00622CCE"/>
    <w:rsid w:val="0062674B"/>
    <w:rsid w:val="006363B2"/>
    <w:rsid w:val="00644940"/>
    <w:rsid w:val="006818A9"/>
    <w:rsid w:val="00692B95"/>
    <w:rsid w:val="006A2D81"/>
    <w:rsid w:val="006C1D0D"/>
    <w:rsid w:val="006E66D6"/>
    <w:rsid w:val="0070601E"/>
    <w:rsid w:val="00712C72"/>
    <w:rsid w:val="00735FE9"/>
    <w:rsid w:val="00763CAA"/>
    <w:rsid w:val="00765F66"/>
    <w:rsid w:val="0078664F"/>
    <w:rsid w:val="007A27CE"/>
    <w:rsid w:val="007C3FA6"/>
    <w:rsid w:val="007D585A"/>
    <w:rsid w:val="007D5A12"/>
    <w:rsid w:val="007E59F9"/>
    <w:rsid w:val="008002D0"/>
    <w:rsid w:val="00805D0E"/>
    <w:rsid w:val="00810BCD"/>
    <w:rsid w:val="00812C98"/>
    <w:rsid w:val="00814D92"/>
    <w:rsid w:val="0083181D"/>
    <w:rsid w:val="00843EB2"/>
    <w:rsid w:val="00865572"/>
    <w:rsid w:val="00874BBC"/>
    <w:rsid w:val="00892135"/>
    <w:rsid w:val="00895449"/>
    <w:rsid w:val="00897879"/>
    <w:rsid w:val="008A6870"/>
    <w:rsid w:val="008C2DDC"/>
    <w:rsid w:val="008C7516"/>
    <w:rsid w:val="008E6EC7"/>
    <w:rsid w:val="008F0D63"/>
    <w:rsid w:val="008F1308"/>
    <w:rsid w:val="008F2C35"/>
    <w:rsid w:val="008F6665"/>
    <w:rsid w:val="00904591"/>
    <w:rsid w:val="00905E5F"/>
    <w:rsid w:val="00907596"/>
    <w:rsid w:val="0091204F"/>
    <w:rsid w:val="009203DB"/>
    <w:rsid w:val="00923CD4"/>
    <w:rsid w:val="00930EFE"/>
    <w:rsid w:val="00942EA5"/>
    <w:rsid w:val="00943386"/>
    <w:rsid w:val="009456B6"/>
    <w:rsid w:val="00957589"/>
    <w:rsid w:val="00966D06"/>
    <w:rsid w:val="00982412"/>
    <w:rsid w:val="00983A8D"/>
    <w:rsid w:val="00993B7B"/>
    <w:rsid w:val="00995C4B"/>
    <w:rsid w:val="009A0DB8"/>
    <w:rsid w:val="009A7257"/>
    <w:rsid w:val="009D6E0A"/>
    <w:rsid w:val="009E1E33"/>
    <w:rsid w:val="00A03A4D"/>
    <w:rsid w:val="00A14672"/>
    <w:rsid w:val="00A26BD6"/>
    <w:rsid w:val="00A443CF"/>
    <w:rsid w:val="00A6611D"/>
    <w:rsid w:val="00A82CB7"/>
    <w:rsid w:val="00A942C1"/>
    <w:rsid w:val="00AA2F03"/>
    <w:rsid w:val="00AC36F7"/>
    <w:rsid w:val="00AC63A4"/>
    <w:rsid w:val="00AD239E"/>
    <w:rsid w:val="00AF79E9"/>
    <w:rsid w:val="00B10265"/>
    <w:rsid w:val="00B16A99"/>
    <w:rsid w:val="00B21211"/>
    <w:rsid w:val="00B35784"/>
    <w:rsid w:val="00B733A7"/>
    <w:rsid w:val="00B75BC1"/>
    <w:rsid w:val="00B75C91"/>
    <w:rsid w:val="00B975AD"/>
    <w:rsid w:val="00BB1452"/>
    <w:rsid w:val="00BC45FB"/>
    <w:rsid w:val="00BF148D"/>
    <w:rsid w:val="00BF4D1F"/>
    <w:rsid w:val="00C23B1A"/>
    <w:rsid w:val="00C310EB"/>
    <w:rsid w:val="00C9176A"/>
    <w:rsid w:val="00CC509A"/>
    <w:rsid w:val="00CF1AA2"/>
    <w:rsid w:val="00D142D3"/>
    <w:rsid w:val="00D17774"/>
    <w:rsid w:val="00D472BE"/>
    <w:rsid w:val="00D63620"/>
    <w:rsid w:val="00D71547"/>
    <w:rsid w:val="00D71E3F"/>
    <w:rsid w:val="00D8410D"/>
    <w:rsid w:val="00D867D7"/>
    <w:rsid w:val="00D87E45"/>
    <w:rsid w:val="00DB7060"/>
    <w:rsid w:val="00DE3153"/>
    <w:rsid w:val="00E06736"/>
    <w:rsid w:val="00E13C27"/>
    <w:rsid w:val="00E16958"/>
    <w:rsid w:val="00E33BBD"/>
    <w:rsid w:val="00E374F2"/>
    <w:rsid w:val="00E45103"/>
    <w:rsid w:val="00E52562"/>
    <w:rsid w:val="00E55A60"/>
    <w:rsid w:val="00E62778"/>
    <w:rsid w:val="00E635A2"/>
    <w:rsid w:val="00E63D38"/>
    <w:rsid w:val="00E665B9"/>
    <w:rsid w:val="00EA01E6"/>
    <w:rsid w:val="00EA0FC3"/>
    <w:rsid w:val="00EA3DE8"/>
    <w:rsid w:val="00EA758F"/>
    <w:rsid w:val="00ED4A6F"/>
    <w:rsid w:val="00EF3A3A"/>
    <w:rsid w:val="00F628D6"/>
    <w:rsid w:val="00F67051"/>
    <w:rsid w:val="00F74CCC"/>
    <w:rsid w:val="00F86A1E"/>
    <w:rsid w:val="00FA5E88"/>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f" fillcolor="white">
      <v:fill color="white" on="f"/>
    </o:shapedefaults>
    <o:shapelayout v:ext="edit">
      <o:idmap v:ext="edit" data="1"/>
    </o:shapelayout>
  </w:shapeDefaults>
  <w:doNotEmbedSmartTags/>
  <w:decimalSymbol w:val="."/>
  <w:listSeparator w:val=","/>
  <w14:docId w14:val="7F6961A1"/>
  <w15:docId w15:val="{403FEEE6-8203-455A-AD98-9BBC0B24CD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en-US" w:eastAsia="en-US" w:bidi="he-IL"/>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qFormat="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42EA5"/>
    <w:pPr>
      <w:widowControl w:val="0"/>
      <w:bidi/>
      <w:spacing w:line="360" w:lineRule="auto"/>
      <w:ind w:left="340"/>
      <w:contextualSpacing/>
      <w:jc w:val="both"/>
    </w:pPr>
    <w:rPr>
      <w:rFonts w:ascii="David" w:eastAsiaTheme="minorHAnsi" w:hAnsi="David" w:cs="David"/>
      <w:sz w:val="24"/>
      <w:szCs w:val="24"/>
    </w:rPr>
  </w:style>
  <w:style w:type="paragraph" w:styleId="1">
    <w:name w:val="heading 1"/>
    <w:basedOn w:val="a"/>
    <w:next w:val="a"/>
    <w:link w:val="10"/>
    <w:uiPriority w:val="9"/>
    <w:qFormat/>
    <w:rsid w:val="00942EA5"/>
    <w:pPr>
      <w:keepNext/>
      <w:keepLines/>
      <w:spacing w:before="240"/>
      <w:jc w:val="center"/>
      <w:outlineLvl w:val="0"/>
    </w:pPr>
    <w:rPr>
      <w:rFonts w:asciiTheme="majorHAnsi" w:eastAsiaTheme="majorEastAsia" w:hAnsiTheme="majorHAnsi"/>
      <w:bCs/>
      <w:sz w:val="32"/>
      <w:szCs w:val="36"/>
    </w:rPr>
  </w:style>
  <w:style w:type="paragraph" w:styleId="2">
    <w:name w:val="heading 2"/>
    <w:basedOn w:val="a"/>
    <w:next w:val="a"/>
    <w:link w:val="20"/>
    <w:unhideWhenUsed/>
    <w:qFormat/>
    <w:rsid w:val="00942EA5"/>
    <w:pPr>
      <w:ind w:left="0"/>
      <w:jc w:val="left"/>
      <w:outlineLvl w:val="1"/>
    </w:pPr>
    <w:rPr>
      <w:rFonts w:asciiTheme="majorHAnsi" w:eastAsiaTheme="majorEastAsia" w:hAnsiTheme="majorHAnsi"/>
      <w:bCs/>
      <w:sz w:val="26"/>
      <w:szCs w:val="36"/>
      <w:u w:val="single"/>
    </w:rPr>
  </w:style>
  <w:style w:type="paragraph" w:styleId="3">
    <w:name w:val="heading 3"/>
    <w:basedOn w:val="a"/>
    <w:next w:val="a"/>
    <w:link w:val="30"/>
    <w:unhideWhenUsed/>
    <w:qFormat/>
    <w:rsid w:val="00942EA5"/>
    <w:pPr>
      <w:spacing w:before="40"/>
      <w:ind w:left="0"/>
      <w:jc w:val="left"/>
      <w:outlineLvl w:val="2"/>
    </w:pPr>
    <w:rPr>
      <w:rFonts w:asciiTheme="majorHAnsi" w:eastAsiaTheme="majorEastAsia" w:hAnsiTheme="majorHAnsi"/>
      <w:szCs w:val="28"/>
      <w:u w:val="double"/>
    </w:rPr>
  </w:style>
  <w:style w:type="paragraph" w:styleId="4">
    <w:name w:val="heading 4"/>
    <w:basedOn w:val="a"/>
    <w:next w:val="a"/>
    <w:link w:val="40"/>
    <w:uiPriority w:val="9"/>
    <w:unhideWhenUsed/>
    <w:qFormat/>
    <w:rsid w:val="00942EA5"/>
    <w:pPr>
      <w:numPr>
        <w:numId w:val="32"/>
      </w:numPr>
      <w:spacing w:before="40" w:after="120"/>
      <w:outlineLvl w:val="3"/>
    </w:pPr>
    <w:rPr>
      <w:b/>
      <w:bCs/>
      <w:color w:val="000000" w:themeColor="text1"/>
      <w:szCs w:val="28"/>
    </w:rPr>
  </w:style>
  <w:style w:type="paragraph" w:styleId="5">
    <w:name w:val="heading 5"/>
    <w:basedOn w:val="a"/>
    <w:next w:val="a"/>
    <w:link w:val="50"/>
    <w:uiPriority w:val="9"/>
    <w:unhideWhenUsed/>
    <w:qFormat/>
    <w:rsid w:val="00942EA5"/>
    <w:pPr>
      <w:spacing w:line="259" w:lineRule="auto"/>
      <w:outlineLvl w:val="4"/>
    </w:pPr>
    <w:rPr>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Noparagraphstyle">
    <w:name w:val="[No paragraph style]"/>
    <w:rsid w:val="00943386"/>
    <w:pPr>
      <w:widowControl w:val="0"/>
      <w:autoSpaceDE w:val="0"/>
      <w:autoSpaceDN w:val="0"/>
      <w:bidi/>
      <w:adjustRightInd w:val="0"/>
      <w:snapToGrid w:val="0"/>
      <w:spacing w:line="360" w:lineRule="auto"/>
      <w:textAlignment w:val="center"/>
    </w:pPr>
    <w:rPr>
      <w:rFonts w:ascii="Arial" w:eastAsia="Arial Unicode MS" w:hAnsi="Arial" w:cs="David"/>
      <w:snapToGrid w:val="0"/>
      <w:color w:val="000000"/>
      <w:szCs w:val="26"/>
      <w:lang w:eastAsia="ja-JP"/>
    </w:rPr>
  </w:style>
  <w:style w:type="paragraph" w:customStyle="1" w:styleId="Cover1-Reshumot">
    <w:name w:val="Cover 1-Reshumot"/>
    <w:basedOn w:val="a"/>
    <w:rsid w:val="00942EA5"/>
    <w:pPr>
      <w:tabs>
        <w:tab w:val="left" w:pos="1191"/>
        <w:tab w:val="left" w:pos="1587"/>
      </w:tabs>
      <w:snapToGrid w:val="0"/>
      <w:spacing w:before="240" w:after="240" w:line="480" w:lineRule="auto"/>
      <w:jc w:val="center"/>
    </w:pPr>
    <w:rPr>
      <w:rFonts w:ascii="Arial" w:eastAsia="Arial Unicode MS" w:hAnsi="Arial"/>
      <w:snapToGrid w:val="0"/>
      <w:sz w:val="20"/>
      <w:szCs w:val="26"/>
    </w:rPr>
  </w:style>
  <w:style w:type="paragraph" w:customStyle="1" w:styleId="Cover2-HatzaotHok">
    <w:name w:val="Cover 2-HatzaotHok"/>
    <w:basedOn w:val="Cover1-Reshumot"/>
    <w:rsid w:val="00942EA5"/>
    <w:rPr>
      <w:sz w:val="36"/>
      <w:szCs w:val="52"/>
    </w:rPr>
  </w:style>
  <w:style w:type="paragraph" w:customStyle="1" w:styleId="Cover3-Haknesset">
    <w:name w:val="Cover 3-Haknesset"/>
    <w:basedOn w:val="Cover1-Reshumot"/>
    <w:rsid w:val="00942EA5"/>
    <w:rPr>
      <w:b/>
      <w:bCs/>
      <w:spacing w:val="60"/>
    </w:rPr>
  </w:style>
  <w:style w:type="paragraph" w:customStyle="1" w:styleId="Cover4-Date">
    <w:name w:val="Cover 4-Date"/>
    <w:basedOn w:val="a"/>
    <w:rsid w:val="00942EA5"/>
    <w:pPr>
      <w:pBdr>
        <w:bottom w:val="single" w:sz="4" w:space="0" w:color="auto"/>
      </w:pBdr>
      <w:tabs>
        <w:tab w:val="center" w:pos="4820"/>
        <w:tab w:val="right" w:pos="9639"/>
      </w:tabs>
      <w:snapToGrid w:val="0"/>
      <w:spacing w:before="240" w:after="240"/>
      <w:jc w:val="left"/>
    </w:pPr>
    <w:rPr>
      <w:rFonts w:ascii="Arial" w:eastAsia="Arial Unicode MS" w:hAnsi="Arial"/>
      <w:snapToGrid w:val="0"/>
      <w:sz w:val="20"/>
      <w:szCs w:val="26"/>
    </w:rPr>
  </w:style>
  <w:style w:type="paragraph" w:customStyle="1" w:styleId="TOC">
    <w:name w:val="TOC"/>
    <w:basedOn w:val="Noparagraphstyle"/>
    <w:rsid w:val="00943386"/>
    <w:pPr>
      <w:tabs>
        <w:tab w:val="left" w:leader="dot" w:pos="8789"/>
      </w:tabs>
      <w:spacing w:before="120"/>
      <w:ind w:left="284" w:right="284"/>
    </w:pPr>
  </w:style>
  <w:style w:type="paragraph" w:customStyle="1" w:styleId="TOCpg">
    <w:name w:val="TOC pg"/>
    <w:basedOn w:val="TOC"/>
    <w:rsid w:val="00943386"/>
    <w:pPr>
      <w:spacing w:after="120"/>
      <w:ind w:right="567"/>
      <w:jc w:val="right"/>
    </w:pPr>
  </w:style>
  <w:style w:type="paragraph" w:customStyle="1" w:styleId="HeadMitparsemetBaze">
    <w:name w:val="Head MitparsemetBaze"/>
    <w:basedOn w:val="a"/>
    <w:rsid w:val="00942EA5"/>
    <w:pPr>
      <w:keepNext/>
      <w:keepLines/>
      <w:pageBreakBefore/>
      <w:snapToGrid w:val="0"/>
      <w:spacing w:before="480"/>
    </w:pPr>
    <w:rPr>
      <w:rFonts w:ascii="Arial" w:eastAsia="Arial Unicode MS" w:hAnsi="Arial"/>
      <w:b/>
      <w:bCs/>
      <w:snapToGrid w:val="0"/>
      <w:sz w:val="20"/>
      <w:szCs w:val="26"/>
    </w:rPr>
  </w:style>
  <w:style w:type="paragraph" w:customStyle="1" w:styleId="HeadHatzaotHok">
    <w:name w:val="Head HatzaotHok"/>
    <w:basedOn w:val="a"/>
    <w:rsid w:val="00942EA5"/>
    <w:pPr>
      <w:keepNext/>
      <w:keepLines/>
      <w:snapToGrid w:val="0"/>
      <w:spacing w:before="240"/>
      <w:jc w:val="center"/>
      <w:outlineLvl w:val="0"/>
    </w:pPr>
    <w:rPr>
      <w:rFonts w:ascii="Arial" w:eastAsia="Arial Unicode MS" w:hAnsi="Arial"/>
      <w:b/>
      <w:bCs/>
      <w:snapToGrid w:val="0"/>
      <w:sz w:val="20"/>
      <w:szCs w:val="26"/>
    </w:rPr>
  </w:style>
  <w:style w:type="paragraph" w:customStyle="1" w:styleId="HeadHatzaotHok4Futer">
    <w:name w:val="Head HatzaotHok4Futer"/>
    <w:basedOn w:val="HeadHatzaotHok"/>
    <w:rsid w:val="00942EA5"/>
    <w:pPr>
      <w:spacing w:before="120" w:after="120"/>
    </w:pPr>
    <w:rPr>
      <w:color w:val="FF0000"/>
      <w:w w:val="80"/>
    </w:rPr>
  </w:style>
  <w:style w:type="paragraph" w:styleId="a3">
    <w:name w:val="endnote text"/>
    <w:basedOn w:val="a"/>
    <w:semiHidden/>
    <w:rsid w:val="00942EA5"/>
    <w:pPr>
      <w:ind w:left="227" w:hanging="227"/>
    </w:pPr>
    <w:rPr>
      <w:sz w:val="14"/>
      <w:szCs w:val="22"/>
    </w:rPr>
  </w:style>
  <w:style w:type="paragraph" w:customStyle="1" w:styleId="TableText">
    <w:name w:val="Table Text"/>
    <w:basedOn w:val="a"/>
    <w:rsid w:val="00942EA5"/>
    <w:pPr>
      <w:keepLines/>
      <w:tabs>
        <w:tab w:val="left" w:pos="624"/>
        <w:tab w:val="left" w:pos="1247"/>
      </w:tabs>
      <w:snapToGrid w:val="0"/>
      <w:ind w:left="0"/>
      <w:jc w:val="left"/>
    </w:pPr>
    <w:rPr>
      <w:rFonts w:ascii="Arial" w:eastAsia="Arial Unicode MS" w:hAnsi="Arial"/>
      <w:snapToGrid w:val="0"/>
      <w:sz w:val="20"/>
      <w:szCs w:val="26"/>
    </w:rPr>
  </w:style>
  <w:style w:type="paragraph" w:customStyle="1" w:styleId="TableSideHeading">
    <w:name w:val="Table SideHeading"/>
    <w:basedOn w:val="TableText"/>
    <w:rsid w:val="00942EA5"/>
    <w:pPr>
      <w:outlineLvl w:val="2"/>
    </w:pPr>
  </w:style>
  <w:style w:type="paragraph" w:customStyle="1" w:styleId="TableBlock">
    <w:name w:val="Table Block"/>
    <w:basedOn w:val="TableText"/>
    <w:rsid w:val="00942EA5"/>
    <w:pPr>
      <w:jc w:val="both"/>
    </w:pPr>
  </w:style>
  <w:style w:type="paragraph" w:customStyle="1" w:styleId="TableHead">
    <w:name w:val="Table Head"/>
    <w:basedOn w:val="TableText"/>
    <w:rsid w:val="00942EA5"/>
    <w:pPr>
      <w:jc w:val="center"/>
      <w:outlineLvl w:val="1"/>
    </w:pPr>
    <w:rPr>
      <w:b/>
      <w:bCs/>
    </w:rPr>
  </w:style>
  <w:style w:type="paragraph" w:customStyle="1" w:styleId="TableText2">
    <w:name w:val="Table Text2"/>
    <w:basedOn w:val="TableText"/>
    <w:rsid w:val="00943386"/>
  </w:style>
  <w:style w:type="paragraph" w:customStyle="1" w:styleId="TableInnerSideHeading">
    <w:name w:val="Table InnerSideHeading"/>
    <w:basedOn w:val="TableSideHeading"/>
    <w:rsid w:val="00942EA5"/>
    <w:pPr>
      <w:outlineLvl w:val="9"/>
    </w:pPr>
  </w:style>
  <w:style w:type="paragraph" w:customStyle="1" w:styleId="Hesber">
    <w:name w:val="Hesber"/>
    <w:basedOn w:val="a"/>
    <w:rsid w:val="00942EA5"/>
    <w:pPr>
      <w:snapToGrid w:val="0"/>
      <w:ind w:left="0" w:firstLine="340"/>
    </w:pPr>
    <w:rPr>
      <w:rFonts w:ascii="Arial" w:eastAsia="Arial Unicode MS" w:hAnsi="Arial"/>
      <w:snapToGrid w:val="0"/>
      <w:sz w:val="20"/>
      <w:szCs w:val="26"/>
    </w:rPr>
  </w:style>
  <w:style w:type="paragraph" w:styleId="a4">
    <w:name w:val="footnote text"/>
    <w:basedOn w:val="a"/>
    <w:autoRedefine/>
    <w:semiHidden/>
    <w:rsid w:val="00942EA5"/>
    <w:pPr>
      <w:snapToGrid w:val="0"/>
      <w:spacing w:line="240" w:lineRule="auto"/>
      <w:ind w:left="0"/>
      <w:jc w:val="left"/>
    </w:pPr>
    <w:rPr>
      <w:rFonts w:ascii="Arial" w:eastAsia="Arial Unicode MS" w:hAnsi="Arial"/>
      <w:snapToGrid w:val="0"/>
      <w:sz w:val="14"/>
      <w:szCs w:val="20"/>
    </w:rPr>
  </w:style>
  <w:style w:type="character" w:styleId="a5">
    <w:name w:val="footnote reference"/>
    <w:aliases w:val="Footnote Reference"/>
    <w:basedOn w:val="a0"/>
    <w:semiHidden/>
    <w:rsid w:val="00942EA5"/>
    <w:rPr>
      <w:vertAlign w:val="superscript"/>
    </w:rPr>
  </w:style>
  <w:style w:type="paragraph" w:customStyle="1" w:styleId="HesberHeading">
    <w:name w:val="Hesber Heading"/>
    <w:basedOn w:val="Hesber"/>
    <w:rsid w:val="00942EA5"/>
    <w:pPr>
      <w:tabs>
        <w:tab w:val="left" w:pos="624"/>
        <w:tab w:val="left" w:pos="1247"/>
      </w:tabs>
    </w:pPr>
    <w:rPr>
      <w:b/>
      <w:bCs/>
    </w:rPr>
  </w:style>
  <w:style w:type="paragraph" w:customStyle="1" w:styleId="HesberWriters">
    <w:name w:val="Hesber Writers"/>
    <w:basedOn w:val="Hesber"/>
    <w:rsid w:val="00942EA5"/>
    <w:pPr>
      <w:spacing w:before="120" w:after="120"/>
      <w:ind w:left="1418"/>
      <w:jc w:val="right"/>
    </w:pPr>
    <w:rPr>
      <w:b/>
      <w:bCs/>
    </w:rPr>
  </w:style>
  <w:style w:type="paragraph" w:customStyle="1" w:styleId="Hesber1st">
    <w:name w:val="Hesber 1st"/>
    <w:basedOn w:val="Hesber"/>
    <w:rsid w:val="00942EA5"/>
    <w:pPr>
      <w:tabs>
        <w:tab w:val="left" w:pos="680"/>
        <w:tab w:val="left" w:pos="1020"/>
      </w:tabs>
      <w:ind w:firstLine="0"/>
    </w:pPr>
  </w:style>
  <w:style w:type="character" w:styleId="a6">
    <w:name w:val="endnote reference"/>
    <w:basedOn w:val="a0"/>
    <w:semiHidden/>
    <w:rsid w:val="00942EA5"/>
    <w:rPr>
      <w:vertAlign w:val="superscript"/>
    </w:rPr>
  </w:style>
  <w:style w:type="paragraph" w:customStyle="1" w:styleId="TableBlockOutdent">
    <w:name w:val="Table BlockOutdent"/>
    <w:basedOn w:val="TableBlock"/>
    <w:rsid w:val="00942EA5"/>
    <w:pPr>
      <w:ind w:left="624" w:hanging="624"/>
    </w:pPr>
  </w:style>
  <w:style w:type="paragraph" w:styleId="a7">
    <w:name w:val="header"/>
    <w:basedOn w:val="a"/>
    <w:rsid w:val="00942EA5"/>
    <w:pPr>
      <w:tabs>
        <w:tab w:val="center" w:pos="4153"/>
        <w:tab w:val="right" w:pos="8306"/>
      </w:tabs>
    </w:pPr>
  </w:style>
  <w:style w:type="paragraph" w:styleId="a8">
    <w:name w:val="footer"/>
    <w:basedOn w:val="a"/>
    <w:rsid w:val="00942EA5"/>
    <w:pPr>
      <w:tabs>
        <w:tab w:val="center" w:pos="4153"/>
        <w:tab w:val="right" w:pos="8306"/>
      </w:tabs>
    </w:pPr>
  </w:style>
  <w:style w:type="paragraph" w:customStyle="1" w:styleId="HeadDivreiHesber">
    <w:name w:val="Head DivreiHesber"/>
    <w:basedOn w:val="a"/>
    <w:rsid w:val="00942EA5"/>
    <w:pPr>
      <w:snapToGrid w:val="0"/>
      <w:spacing w:before="360" w:after="120"/>
      <w:jc w:val="center"/>
      <w:outlineLvl w:val="1"/>
    </w:pPr>
    <w:rPr>
      <w:rFonts w:ascii="Arial" w:eastAsia="Arial Unicode MS" w:hAnsi="Arial"/>
      <w:b/>
      <w:snapToGrid w:val="0"/>
      <w:spacing w:val="40"/>
      <w:sz w:val="20"/>
      <w:szCs w:val="26"/>
    </w:rPr>
  </w:style>
  <w:style w:type="paragraph" w:customStyle="1" w:styleId="Ragil">
    <w:name w:val="Ragil"/>
    <w:basedOn w:val="a"/>
    <w:rsid w:val="00942EA5"/>
    <w:pPr>
      <w:snapToGrid w:val="0"/>
      <w:jc w:val="left"/>
    </w:pPr>
    <w:rPr>
      <w:rFonts w:ascii="Arial" w:eastAsia="Arial Unicode MS" w:hAnsi="Arial"/>
      <w:snapToGrid w:val="0"/>
      <w:sz w:val="20"/>
      <w:szCs w:val="26"/>
    </w:rPr>
  </w:style>
  <w:style w:type="paragraph" w:styleId="a9">
    <w:name w:val="Title"/>
    <w:basedOn w:val="a"/>
    <w:qFormat/>
    <w:rsid w:val="00943386"/>
    <w:pPr>
      <w:jc w:val="center"/>
    </w:pPr>
    <w:rPr>
      <w:b/>
      <w:bCs/>
      <w:sz w:val="28"/>
      <w:szCs w:val="28"/>
      <w:u w:val="single"/>
    </w:rPr>
  </w:style>
  <w:style w:type="character" w:styleId="aa">
    <w:name w:val="page number"/>
    <w:basedOn w:val="a0"/>
    <w:rsid w:val="00942EA5"/>
  </w:style>
  <w:style w:type="paragraph" w:customStyle="1" w:styleId="David">
    <w:name w:val="רגיל + (עברית ושפות אחרות) David"/>
    <w:aliases w:val="‏13 נק',מודגש,אחרי:  6 נק'"/>
    <w:basedOn w:val="a"/>
    <w:rsid w:val="001207F8"/>
    <w:pPr>
      <w:jc w:val="left"/>
    </w:pPr>
    <w:rPr>
      <w:sz w:val="26"/>
      <w:szCs w:val="26"/>
    </w:rPr>
  </w:style>
  <w:style w:type="paragraph" w:styleId="ab">
    <w:name w:val="Balloon Text"/>
    <w:basedOn w:val="a"/>
    <w:link w:val="ac"/>
    <w:semiHidden/>
    <w:unhideWhenUsed/>
    <w:rsid w:val="00325C14"/>
    <w:pPr>
      <w:spacing w:line="240" w:lineRule="auto"/>
    </w:pPr>
    <w:rPr>
      <w:rFonts w:ascii="Tahoma" w:hAnsi="Tahoma" w:cs="Tahoma"/>
      <w:sz w:val="16"/>
      <w:szCs w:val="16"/>
    </w:rPr>
  </w:style>
  <w:style w:type="character" w:customStyle="1" w:styleId="ac">
    <w:name w:val="טקסט בלונים תו"/>
    <w:basedOn w:val="a0"/>
    <w:link w:val="ab"/>
    <w:semiHidden/>
    <w:rsid w:val="00325C14"/>
    <w:rPr>
      <w:rFonts w:ascii="Tahoma" w:hAnsi="Tahoma" w:cs="Tahoma"/>
      <w:color w:val="000000"/>
      <w:spacing w:val="1"/>
      <w:sz w:val="16"/>
      <w:szCs w:val="16"/>
      <w:lang w:eastAsia="ja-JP"/>
    </w:rPr>
  </w:style>
  <w:style w:type="character" w:customStyle="1" w:styleId="10">
    <w:name w:val="כותרת 1 תו"/>
    <w:basedOn w:val="a0"/>
    <w:link w:val="1"/>
    <w:uiPriority w:val="9"/>
    <w:rsid w:val="00942EA5"/>
    <w:rPr>
      <w:rFonts w:asciiTheme="majorHAnsi" w:eastAsiaTheme="majorEastAsia" w:hAnsiTheme="majorHAnsi" w:cs="David"/>
      <w:bCs/>
      <w:sz w:val="32"/>
      <w:szCs w:val="36"/>
    </w:rPr>
  </w:style>
  <w:style w:type="character" w:customStyle="1" w:styleId="20">
    <w:name w:val="כותרת 2 תו"/>
    <w:basedOn w:val="a0"/>
    <w:link w:val="2"/>
    <w:rsid w:val="00942EA5"/>
    <w:rPr>
      <w:rFonts w:asciiTheme="majorHAnsi" w:eastAsiaTheme="majorEastAsia" w:hAnsiTheme="majorHAnsi" w:cs="David"/>
      <w:bCs/>
      <w:sz w:val="26"/>
      <w:szCs w:val="36"/>
      <w:u w:val="single"/>
    </w:rPr>
  </w:style>
  <w:style w:type="character" w:customStyle="1" w:styleId="30">
    <w:name w:val="כותרת 3 תו"/>
    <w:basedOn w:val="a0"/>
    <w:link w:val="3"/>
    <w:rsid w:val="00942EA5"/>
    <w:rPr>
      <w:rFonts w:asciiTheme="majorHAnsi" w:eastAsiaTheme="majorEastAsia" w:hAnsiTheme="majorHAnsi" w:cs="David"/>
      <w:sz w:val="24"/>
      <w:szCs w:val="28"/>
      <w:u w:val="double"/>
    </w:rPr>
  </w:style>
  <w:style w:type="character" w:customStyle="1" w:styleId="40">
    <w:name w:val="כותרת 4 תו"/>
    <w:basedOn w:val="a0"/>
    <w:link w:val="4"/>
    <w:uiPriority w:val="9"/>
    <w:rsid w:val="00942EA5"/>
    <w:rPr>
      <w:rFonts w:ascii="David" w:eastAsiaTheme="minorHAnsi" w:hAnsi="David" w:cs="David"/>
      <w:b/>
      <w:bCs/>
      <w:color w:val="000000" w:themeColor="text1"/>
      <w:sz w:val="24"/>
      <w:szCs w:val="28"/>
    </w:rPr>
  </w:style>
  <w:style w:type="character" w:customStyle="1" w:styleId="50">
    <w:name w:val="כותרת 5 תו"/>
    <w:basedOn w:val="a0"/>
    <w:link w:val="5"/>
    <w:uiPriority w:val="9"/>
    <w:rsid w:val="00942EA5"/>
    <w:rPr>
      <w:rFonts w:ascii="David" w:eastAsiaTheme="minorHAnsi" w:hAnsi="David" w:cs="David"/>
      <w:color w:val="000000" w:themeColor="text1"/>
      <w:sz w:val="24"/>
      <w:szCs w:val="24"/>
    </w:rPr>
  </w:style>
  <w:style w:type="paragraph" w:styleId="ad">
    <w:name w:val="TOC Heading"/>
    <w:basedOn w:val="1"/>
    <w:next w:val="a"/>
    <w:uiPriority w:val="39"/>
    <w:unhideWhenUsed/>
    <w:qFormat/>
    <w:rsid w:val="00942EA5"/>
    <w:pPr>
      <w:widowControl/>
      <w:spacing w:before="120" w:after="120"/>
      <w:outlineLvl w:val="9"/>
    </w:pPr>
    <w:rPr>
      <w:rtl/>
      <w:cs/>
    </w:rPr>
  </w:style>
  <w:style w:type="paragraph" w:styleId="TOC1">
    <w:name w:val="toc 1"/>
    <w:basedOn w:val="a"/>
    <w:next w:val="a"/>
    <w:autoRedefine/>
    <w:uiPriority w:val="39"/>
    <w:unhideWhenUsed/>
    <w:rsid w:val="00942EA5"/>
    <w:pPr>
      <w:tabs>
        <w:tab w:val="right" w:leader="dot" w:pos="9629"/>
      </w:tabs>
      <w:spacing w:after="100"/>
    </w:pPr>
    <w:rPr>
      <w:bCs/>
      <w:szCs w:val="22"/>
    </w:rPr>
  </w:style>
  <w:style w:type="paragraph" w:styleId="TOC2">
    <w:name w:val="toc 2"/>
    <w:basedOn w:val="a"/>
    <w:next w:val="a"/>
    <w:uiPriority w:val="39"/>
    <w:unhideWhenUsed/>
    <w:rsid w:val="00942EA5"/>
    <w:pPr>
      <w:tabs>
        <w:tab w:val="right" w:leader="dot" w:pos="9628"/>
      </w:tabs>
      <w:spacing w:after="100"/>
    </w:pPr>
    <w:rPr>
      <w:szCs w:val="22"/>
    </w:rPr>
  </w:style>
  <w:style w:type="character" w:styleId="Hyperlink">
    <w:name w:val="Hyperlink"/>
    <w:basedOn w:val="a0"/>
    <w:uiPriority w:val="99"/>
    <w:unhideWhenUsed/>
    <w:rsid w:val="00942EA5"/>
    <w:rPr>
      <w:color w:val="0000FF" w:themeColor="hyperlink"/>
      <w:u w:val="single"/>
    </w:rPr>
  </w:style>
  <w:style w:type="paragraph" w:styleId="TOC3">
    <w:name w:val="toc 3"/>
    <w:basedOn w:val="a"/>
    <w:next w:val="a"/>
    <w:uiPriority w:val="39"/>
    <w:unhideWhenUsed/>
    <w:rsid w:val="00942EA5"/>
    <w:pPr>
      <w:numPr>
        <w:numId w:val="35"/>
      </w:numPr>
      <w:tabs>
        <w:tab w:val="right" w:leader="dot" w:pos="9629"/>
      </w:tabs>
      <w:spacing w:after="100"/>
      <w:ind w:left="811" w:hanging="357"/>
    </w:pPr>
    <w:rPr>
      <w:szCs w:val="22"/>
    </w:rPr>
  </w:style>
  <w:style w:type="paragraph" w:styleId="TOC4">
    <w:name w:val="toc 4"/>
    <w:basedOn w:val="a"/>
    <w:next w:val="a"/>
    <w:autoRedefine/>
    <w:unhideWhenUsed/>
    <w:qFormat/>
    <w:rsid w:val="00942EA5"/>
    <w:pPr>
      <w:tabs>
        <w:tab w:val="right" w:leader="dot" w:pos="9628"/>
      </w:tabs>
      <w:spacing w:after="100"/>
      <w:ind w:left="567"/>
    </w:pPr>
    <w:rPr>
      <w:rFonts w:asciiTheme="minorHAnsi" w:eastAsiaTheme="minorEastAsia" w:hAnsiTheme="minorHAnsi"/>
      <w:noProof/>
      <w:sz w:val="22"/>
      <w:szCs w:val="22"/>
    </w:rPr>
  </w:style>
  <w:style w:type="paragraph" w:styleId="TOC5">
    <w:name w:val="toc 5"/>
    <w:basedOn w:val="a"/>
    <w:next w:val="a"/>
    <w:semiHidden/>
    <w:unhideWhenUsed/>
    <w:rsid w:val="00942EA5"/>
    <w:pPr>
      <w:tabs>
        <w:tab w:val="right" w:leader="dot" w:pos="9628"/>
      </w:tabs>
      <w:spacing w:after="100"/>
      <w:ind w:left="567"/>
    </w:pPr>
    <w:rPr>
      <w:szCs w:val="22"/>
    </w:rPr>
  </w:style>
  <w:style w:type="paragraph" w:styleId="TOC6">
    <w:name w:val="toc 6"/>
    <w:basedOn w:val="a"/>
    <w:next w:val="a"/>
    <w:autoRedefine/>
    <w:semiHidden/>
    <w:unhideWhenUsed/>
    <w:rsid w:val="00942EA5"/>
    <w:pPr>
      <w:spacing w:after="100"/>
      <w:ind w:left="850"/>
    </w:pPr>
  </w:style>
  <w:style w:type="paragraph" w:styleId="TOC7">
    <w:name w:val="toc 7"/>
    <w:basedOn w:val="a"/>
    <w:next w:val="a"/>
    <w:autoRedefine/>
    <w:semiHidden/>
    <w:unhideWhenUsed/>
    <w:rsid w:val="00942EA5"/>
    <w:pPr>
      <w:spacing w:after="100"/>
      <w:ind w:left="1020"/>
    </w:pPr>
  </w:style>
  <w:style w:type="paragraph" w:styleId="TOC8">
    <w:name w:val="toc 8"/>
    <w:basedOn w:val="a"/>
    <w:next w:val="a"/>
    <w:autoRedefine/>
    <w:semiHidden/>
    <w:unhideWhenUsed/>
    <w:rsid w:val="00942EA5"/>
    <w:pPr>
      <w:spacing w:after="100"/>
      <w:ind w:left="1190"/>
    </w:pPr>
  </w:style>
  <w:style w:type="paragraph" w:styleId="TOC9">
    <w:name w:val="toc 9"/>
    <w:basedOn w:val="a"/>
    <w:next w:val="a"/>
    <w:autoRedefine/>
    <w:semiHidden/>
    <w:unhideWhenUsed/>
    <w:rsid w:val="00942EA5"/>
    <w:pPr>
      <w:spacing w:after="100"/>
      <w:ind w:left="1360"/>
    </w:pPr>
  </w:style>
  <w:style w:type="paragraph" w:customStyle="1" w:styleId="TableHead2">
    <w:name w:val="Table Head2"/>
    <w:basedOn w:val="TableHead"/>
    <w:qFormat/>
    <w:rsid w:val="00942EA5"/>
    <w:pPr>
      <w:outlineLvl w:val="9"/>
    </w:pPr>
  </w:style>
  <w:style w:type="paragraph" w:customStyle="1" w:styleId="TableSideHeading2">
    <w:name w:val="Table SideHeading2"/>
    <w:basedOn w:val="TableSideHeading"/>
    <w:autoRedefine/>
    <w:qFormat/>
    <w:rsid w:val="00942EA5"/>
    <w:pPr>
      <w:keepLines w:val="0"/>
      <w:outlineLvl w:val="9"/>
    </w:pPr>
  </w:style>
  <w:style w:type="paragraph" w:customStyle="1" w:styleId="0">
    <w:name w:val="סגנון שורה ראשונה:  0  ס''מ"/>
    <w:basedOn w:val="2"/>
    <w:rsid w:val="00942EA5"/>
    <w:rPr>
      <w:rFonts w:eastAsia="Times New Roman"/>
    </w:rPr>
  </w:style>
  <w:style w:type="paragraph" w:styleId="ae">
    <w:name w:val="List Paragraph"/>
    <w:basedOn w:val="a"/>
    <w:uiPriority w:val="34"/>
    <w:qFormat/>
    <w:rsid w:val="00942EA5"/>
    <w:pPr>
      <w:widowControl/>
      <w:spacing w:line="259" w:lineRule="auto"/>
    </w:pPr>
    <w:rPr>
      <w:rFonts w:asciiTheme="minorHAnsi" w:hAnsiTheme="minorHAnsi"/>
      <w:sz w:val="22"/>
    </w:rPr>
  </w:style>
  <w:style w:type="table" w:styleId="af">
    <w:name w:val="Table Grid"/>
    <w:basedOn w:val="a1"/>
    <w:rsid w:val="00942E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1">
    <w:name w:val="Plain Table 1"/>
    <w:basedOn w:val="a1"/>
    <w:uiPriority w:val="41"/>
    <w:rsid w:val="00942EA5"/>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12">
    <w:name w:val="Grid Table 1 Light"/>
    <w:basedOn w:val="a1"/>
    <w:uiPriority w:val="46"/>
    <w:rsid w:val="00942EA5"/>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af0">
    <w:name w:val="טבלת חקיקה"/>
    <w:basedOn w:val="a1"/>
    <w:uiPriority w:val="99"/>
    <w:rsid w:val="00942EA5"/>
    <w:pPr>
      <w:jc w:val="center"/>
    </w:pPr>
    <w:rPr>
      <w:rFonts w:cstheme="minorBidi"/>
    </w:rPr>
    <w:tblPr/>
    <w:tcPr>
      <w:tcMar>
        <w:left w:w="0" w:type="dxa"/>
        <w:right w:w="0" w:type="dxa"/>
      </w:tcMar>
      <w:vAlign w:val="center"/>
    </w:tcPr>
    <w:tblStylePr w:type="firstRow">
      <w:pPr>
        <w:jc w:val="center"/>
      </w:pPr>
      <w:rPr>
        <w:rFonts w:cs="David"/>
        <w:bCs/>
        <w:szCs w:val="24"/>
      </w:rPr>
      <w:tblPr/>
      <w:tcPr>
        <w:tcBorders>
          <w:top w:val="nil"/>
          <w:left w:val="nil"/>
          <w:bottom w:val="nil"/>
          <w:right w:val="nil"/>
          <w:insideH w:val="nil"/>
          <w:insideV w:val="nil"/>
          <w:tl2br w:val="nil"/>
          <w:tr2bl w:val="nil"/>
        </w:tcBorders>
        <w:shd w:val="pct10" w:color="auto" w:fill="auto"/>
      </w:tcPr>
    </w:tblStylePr>
    <w:tblStylePr w:type="firstCol">
      <w:tblPr/>
      <w:tcPr>
        <w:noWrap/>
      </w:tcPr>
    </w:tblStylePr>
    <w:tblStylePr w:type="lastCol">
      <w:pPr>
        <w:jc w:val="center"/>
      </w:pPr>
      <w:tblPr/>
      <w:tcPr>
        <w:noWrap/>
      </w:tcPr>
    </w:tblStylePr>
  </w:style>
  <w:style w:type="table" w:customStyle="1" w:styleId="13">
    <w:name w:val="סגנון1"/>
    <w:basedOn w:val="a1"/>
    <w:uiPriority w:val="99"/>
    <w:rsid w:val="00942EA5"/>
    <w:tblPr/>
    <w:tblStylePr w:type="firstCol">
      <w:pPr>
        <w:keepNext w:val="0"/>
        <w:keepLines/>
        <w:pageBreakBefore w:val="0"/>
        <w:widowControl w:val="0"/>
        <w:suppressLineNumbers w:val="0"/>
        <w:suppressAutoHyphens w:val="0"/>
        <w:wordWrap/>
      </w:p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805151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מסמך" ma:contentTypeID="0x0101003D6E9C754E1F7C4C891E9EE2E0AF8150" ma:contentTypeVersion="" ma:contentTypeDescription="צור מסמך חדש." ma:contentTypeScope="" ma:versionID="9191f7e1bb085ece6465964dba42d442">
  <xsd:schema xmlns:xsd="http://www.w3.org/2001/XMLSchema" xmlns:xs="http://www.w3.org/2001/XMLSchema" xmlns:p="http://schemas.microsoft.com/office/2006/metadata/properties" xmlns:ns2="290d5b49-c690-4c6f-bbb9-1e50dab33eee" targetNamespace="http://schemas.microsoft.com/office/2006/metadata/properties" ma:root="true" ma:fieldsID="fb4ed97e084053ed652bcef757b4ab45" ns2:_="">
    <xsd:import namespace="290d5b49-c690-4c6f-bbb9-1e50dab33eee"/>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0d5b49-c690-4c6f-bbb9-1e50dab33eee" elementFormDefault="qualified">
    <xsd:import namespace="http://schemas.microsoft.com/office/2006/documentManagement/types"/>
    <xsd:import namespace="http://schemas.microsoft.com/office/infopath/2007/PartnerControls"/>
    <xsd:element name="SharedWithUsers" ma:index="8" nillable="true" ma:displayName="משותף עם"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סוג תוכן"/>
        <xsd:element ref="dc:title" minOccurs="0" maxOccurs="1" ma:index="4" ma:displayName="כותר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CDC32B-DD97-493E-9196-3EF77D6F9C7D}">
  <ds:schemaRefs>
    <ds:schemaRef ds:uri="http://schemas.microsoft.com/sharepoint/v3/contenttype/forms"/>
  </ds:schemaRefs>
</ds:datastoreItem>
</file>

<file path=customXml/itemProps2.xml><?xml version="1.0" encoding="utf-8"?>
<ds:datastoreItem xmlns:ds="http://schemas.openxmlformats.org/officeDocument/2006/customXml" ds:itemID="{88F4AFE3-9455-419C-8851-785A55F44517}">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290d5b49-c690-4c6f-bbb9-1e50dab33eee"/>
    <ds:schemaRef ds:uri="http://purl.org/dc/elements/1.1/"/>
    <ds:schemaRef ds:uri="http://schemas.microsoft.com/office/2006/metadata/properties"/>
    <ds:schemaRef ds:uri="http://www.w3.org/XML/1998/namespace"/>
    <ds:schemaRef ds:uri="http://purl.org/dc/dcmitype/"/>
  </ds:schemaRefs>
</ds:datastoreItem>
</file>

<file path=customXml/itemProps3.xml><?xml version="1.0" encoding="utf-8"?>
<ds:datastoreItem xmlns:ds="http://schemas.openxmlformats.org/officeDocument/2006/customXml" ds:itemID="{5523F2FA-315B-40C5-9D87-B14A6157B2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0d5b49-c690-4c6f-bbb9-1e50dab33ee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3DB49E9-95CF-486A-B5FD-B856CB701C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1556</TotalTime>
  <Pages>5</Pages>
  <Words>1134</Words>
  <Characters>6467</Characters>
  <Application>Microsoft Office Word</Application>
  <DocSecurity>0</DocSecurity>
  <Lines>53</Lines>
  <Paragraphs>15</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רשומות</vt:lpstr>
      <vt:lpstr>רשומות</vt:lpstr>
    </vt:vector>
  </TitlesOfParts>
  <Company>Knesset</Company>
  <LinksUpToDate>false</LinksUpToDate>
  <CharactersWithSpaces>7586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רשומות</dc:title>
  <dc:creator>מיקה צור</dc:creator>
  <cp:lastModifiedBy>לילך יעיש</cp:lastModifiedBy>
  <cp:revision>27</cp:revision>
  <cp:lastPrinted>2020-10-15T11:12:00Z</cp:lastPrinted>
  <dcterms:created xsi:type="dcterms:W3CDTF">2015-04-20T09:58:00Z</dcterms:created>
  <dcterms:modified xsi:type="dcterms:W3CDTF">2020-10-15T11:31:00Z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0x0101003D6E9C754E1F7C4C891E9EE2E0AF8150</vt:lpwstr>
  </property>
  <property fmtid="{D5CDD505-2E9C-101B-9397-08002B2CF9AE}" pid="3" name="_dlc_DocIdItemGuid">
    <vt:lpwstr>8badafff-95aa-4718-b074-a2d35988ffa8</vt:lpwstr>
  </property>
  <property fmtid="{D5CDD505-2E9C-101B-9397-08002B2CF9AE}" pid="4" name="SanhedrinDocumentType">
    <vt:r8>10</vt:r8>
  </property>
  <property fmtid="{D5CDD505-2E9C-101B-9397-08002B2CF9AE}" pid="5" name="SanhedrinItemID">
    <vt:r8>2142605</vt:r8>
  </property>
</Properties>
</file>