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2146626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שלמה קרעי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אוסנת הילה מארק</w:t>
      </w:r>
      <w:bookmarkEnd w:id="3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0079A115" w:rsidR="00E13C27" w:rsidRPr="00E06736" w:rsidRDefault="00904591" w:rsidP="00D20967">
      <w:pPr>
        <w:pStyle w:val="David"/>
        <w:spacing w:line="240" w:lineRule="auto"/>
        <w:ind w:left="6424" w:firstLine="56"/>
        <w:rPr>
          <w:rtl/>
        </w:rPr>
      </w:pPr>
      <w:bookmarkStart w:id="4" w:name="Private_Number"/>
      <w:r>
        <w:rPr>
          <w:rFonts w:hint="cs"/>
          <w:rtl/>
        </w:rPr>
        <w:t>פ/2218/23</w:t>
      </w:r>
      <w:bookmarkEnd w:id="4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הבחירות לכנסת (תיקון – הפחתת אחוז החסימה), התשפ"א–2020</w:t>
      </w:r>
      <w:bookmarkEnd w:id="5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1C4D6F" w14:paraId="4A516361" w14:textId="77777777" w:rsidTr="00B60CFC">
        <w:trPr>
          <w:cantSplit/>
        </w:trPr>
        <w:tc>
          <w:tcPr>
            <w:tcW w:w="1871" w:type="dxa"/>
          </w:tcPr>
          <w:p w14:paraId="461186AC" w14:textId="77777777" w:rsidR="001C4D6F" w:rsidRDefault="001C4D6F" w:rsidP="0095269B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81</w:t>
            </w:r>
          </w:p>
        </w:tc>
        <w:tc>
          <w:tcPr>
            <w:tcW w:w="624" w:type="dxa"/>
          </w:tcPr>
          <w:p w14:paraId="29684063" w14:textId="1231B4D5" w:rsidR="001C4D6F" w:rsidRDefault="00D20967" w:rsidP="00D20967">
            <w:pPr>
              <w:pStyle w:val="TableText"/>
              <w:keepLines w:val="0"/>
              <w:tabs>
                <w:tab w:val="clear" w:pos="624"/>
              </w:tabs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F7AEFE2" w14:textId="2E747EFF" w:rsidR="001C4D6F" w:rsidRPr="00C34DE2" w:rsidRDefault="001C4D6F" w:rsidP="00B60CFC">
            <w:pPr>
              <w:pStyle w:val="TableBlock"/>
            </w:pPr>
            <w:r>
              <w:rPr>
                <w:rFonts w:hint="cs"/>
                <w:rtl/>
              </w:rPr>
              <w:t>בחוק הבחירות לכנסת [נוסח משולב], התשכ"ט</w:t>
            </w:r>
            <w:r w:rsidR="00B60CFC">
              <w:rPr>
                <w:rFonts w:hint="cs"/>
                <w:rtl/>
              </w:rPr>
              <w:t>–</w:t>
            </w:r>
            <w:r>
              <w:rPr>
                <w:rFonts w:hint="cs"/>
                <w:rtl/>
              </w:rPr>
              <w:t>1969</w:t>
            </w:r>
            <w:r w:rsidRPr="006A69F1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 בסעיף 81(א), במקום "3.25% (שלושה אחוזים ורבע)" יבוא "2% (שני אחוזים)".</w:t>
            </w:r>
          </w:p>
        </w:tc>
      </w:tr>
    </w:tbl>
    <w:p w14:paraId="2F5E5582" w14:textId="77777777" w:rsidR="001C4D6F" w:rsidRDefault="001C4D6F" w:rsidP="001C4D6F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1032AD3" w14:textId="0C2747E7" w:rsidR="001C4D6F" w:rsidRDefault="001C4D6F" w:rsidP="00D20967">
      <w:pPr>
        <w:pStyle w:val="Hesber"/>
        <w:spacing w:line="276" w:lineRule="auto"/>
        <w:rPr>
          <w:rtl/>
        </w:rPr>
      </w:pPr>
      <w:r>
        <w:rPr>
          <w:rtl/>
        </w:rPr>
        <w:t>אחוז החסימה</w:t>
      </w:r>
      <w:r>
        <w:rPr>
          <w:rFonts w:hint="cs"/>
          <w:rtl/>
        </w:rPr>
        <w:t xml:space="preserve"> הגבוה כיום מייצר עיוות משטרי ודמוקרטי בכך שמונע מציבורים משמעותיים להכניס נציגים לכנסת, ומאידך לא מצמצם את מספר הסיעות בכנסת מכיוון ש</w:t>
      </w:r>
      <w:r w:rsidR="00B60CFC">
        <w:rPr>
          <w:rFonts w:hint="cs"/>
          <w:rtl/>
        </w:rPr>
        <w:t xml:space="preserve">סיעות </w:t>
      </w:r>
      <w:r>
        <w:rPr>
          <w:rFonts w:hint="cs"/>
          <w:rtl/>
        </w:rPr>
        <w:t xml:space="preserve">יכולות </w:t>
      </w:r>
      <w:r w:rsidR="00B60CFC">
        <w:rPr>
          <w:rFonts w:hint="cs"/>
          <w:rtl/>
        </w:rPr>
        <w:t xml:space="preserve">להתמודד ביחד ואז </w:t>
      </w:r>
      <w:r>
        <w:rPr>
          <w:rFonts w:hint="cs"/>
          <w:rtl/>
        </w:rPr>
        <w:t>להתפצל לאחר בחירת</w:t>
      </w:r>
      <w:r w:rsidR="00FE5864">
        <w:rPr>
          <w:rFonts w:hint="cs"/>
          <w:rtl/>
        </w:rPr>
        <w:t>ן</w:t>
      </w:r>
      <w:r>
        <w:rPr>
          <w:rFonts w:hint="cs"/>
          <w:rtl/>
        </w:rPr>
        <w:t>.</w:t>
      </w:r>
    </w:p>
    <w:p w14:paraId="018ECF40" w14:textId="1FFF03EA" w:rsidR="001C4D6F" w:rsidRDefault="001C4D6F" w:rsidP="00D20967">
      <w:pPr>
        <w:pStyle w:val="Hesber"/>
        <w:spacing w:line="276" w:lineRule="auto"/>
        <w:rPr>
          <w:rtl/>
        </w:rPr>
      </w:pPr>
      <w:r>
        <w:rPr>
          <w:rtl/>
        </w:rPr>
        <w:t>מדינת ישראל הלכה לבחירות שלוש פעמים בשנה אחת</w:t>
      </w:r>
      <w:r>
        <w:rPr>
          <w:rFonts w:hint="cs"/>
          <w:rtl/>
        </w:rPr>
        <w:t>, בין היתר</w:t>
      </w:r>
      <w:r>
        <w:rPr>
          <w:rtl/>
        </w:rPr>
        <w:t xml:space="preserve"> משום </w:t>
      </w:r>
      <w:r w:rsidR="006A69F1">
        <w:rPr>
          <w:rFonts w:hint="cs"/>
          <w:rtl/>
        </w:rPr>
        <w:t xml:space="preserve">שהיו מפלגות שלא עברו את אחוז החסימה הגבוה, </w:t>
      </w:r>
      <w:r>
        <w:rPr>
          <w:rtl/>
        </w:rPr>
        <w:t>ו</w:t>
      </w:r>
      <w:r>
        <w:rPr>
          <w:rFonts w:hint="cs"/>
          <w:rtl/>
        </w:rPr>
        <w:t>כך הושלכו</w:t>
      </w:r>
      <w:r>
        <w:rPr>
          <w:rtl/>
        </w:rPr>
        <w:t xml:space="preserve"> מאות אלפי קולות לפח</w:t>
      </w:r>
      <w:r>
        <w:rPr>
          <w:rFonts w:hint="cs"/>
          <w:rtl/>
        </w:rPr>
        <w:t xml:space="preserve">, הדוגמא המשמעותית ביותר לכך התרחשה בבחירות לכנסת ה-21. </w:t>
      </w:r>
    </w:p>
    <w:p w14:paraId="5EB1819F" w14:textId="1545F676" w:rsidR="001C4D6F" w:rsidRDefault="001C4D6F" w:rsidP="00D2096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יתירה מכך, אחוז החסימה הגבוה כיום (3.25%) הפר את האיזון העדין שבין משילות טובה ויציבות שלטונית לבין הזכות לבחור ולהיבחר. </w:t>
      </w:r>
    </w:p>
    <w:p w14:paraId="5AC69384" w14:textId="2E882E05" w:rsidR="001C4D6F" w:rsidRDefault="001C4D6F" w:rsidP="00D2096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 xml:space="preserve">יש להחזיר את המצב לקדמותו ולקבוע את אחוז החסימה על שני אחוזים בלבד. </w:t>
      </w:r>
      <w:r w:rsidR="00FE5864">
        <w:rPr>
          <w:rFonts w:hint="cs"/>
          <w:rtl/>
        </w:rPr>
        <w:t>כך תימנע התופעה של מפלגות המאגדות לתוכן חברים בעלי השקפות עולם השונות מהשקפת העולם המפלגתית.</w:t>
      </w:r>
      <w:r>
        <w:rPr>
          <w:rFonts w:hint="cs"/>
          <w:rtl/>
        </w:rPr>
        <w:t xml:space="preserve"> </w:t>
      </w:r>
      <w:r w:rsidR="00FE5864">
        <w:rPr>
          <w:rFonts w:hint="cs"/>
          <w:rtl/>
        </w:rPr>
        <w:t xml:space="preserve">בנוסף, תימנע תופעת התפצלות סיעות לסיעות יחיד לאחר הבחירות, תופעה </w:t>
      </w:r>
      <w:r w:rsidR="00B60CFC">
        <w:rPr>
          <w:rFonts w:hint="cs"/>
          <w:rtl/>
        </w:rPr>
        <w:t>הפוגעת בייצוג של</w:t>
      </w:r>
      <w:r w:rsidR="00FE5864">
        <w:rPr>
          <w:rFonts w:hint="cs"/>
          <w:rtl/>
        </w:rPr>
        <w:t xml:space="preserve"> הבוחרים.</w:t>
      </w:r>
    </w:p>
    <w:p w14:paraId="17F30FF8" w14:textId="32EC6EC7" w:rsidR="00D20967" w:rsidRDefault="00A1131F" w:rsidP="00D2096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הצע</w:t>
      </w:r>
      <w:r w:rsidR="00D20967">
        <w:rPr>
          <w:rFonts w:hint="cs"/>
          <w:rtl/>
        </w:rPr>
        <w:t>ות</w:t>
      </w:r>
      <w:r>
        <w:rPr>
          <w:rFonts w:hint="cs"/>
          <w:rtl/>
        </w:rPr>
        <w:t xml:space="preserve"> חוק זה</w:t>
      </w:r>
      <w:r w:rsidR="00D20967">
        <w:rPr>
          <w:rFonts w:hint="cs"/>
          <w:rtl/>
        </w:rPr>
        <w:t>ות</w:t>
      </w:r>
      <w:r>
        <w:rPr>
          <w:rFonts w:hint="cs"/>
          <w:rtl/>
        </w:rPr>
        <w:t xml:space="preserve"> הונח</w:t>
      </w:r>
      <w:r w:rsidR="00D20967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העשרים על ידי חבר הכנסת דב חנין וקבוצת חברי הכנסת (</w:t>
      </w:r>
      <w:r>
        <w:rPr>
          <w:rtl/>
        </w:rPr>
        <w:t>פ/1163/20</w:t>
      </w:r>
      <w:r>
        <w:rPr>
          <w:rFonts w:hint="cs"/>
          <w:rtl/>
        </w:rPr>
        <w:t>)</w:t>
      </w:r>
      <w:r w:rsidR="009F7477">
        <w:rPr>
          <w:rFonts w:hint="cs"/>
          <w:rtl/>
        </w:rPr>
        <w:t xml:space="preserve"> ועל ידי חברת הכנסת זהבה גלאון וקבוצת חברי הכנסת (</w:t>
      </w:r>
      <w:r w:rsidR="009F7477">
        <w:rPr>
          <w:rtl/>
        </w:rPr>
        <w:t>פ/465/20</w:t>
      </w:r>
      <w:r w:rsidR="009F7477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</w:p>
    <w:p w14:paraId="7F6961CB" w14:textId="62B86699" w:rsidR="00E13C27" w:rsidRDefault="00A1131F" w:rsidP="00D2096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הצעות חוק דומות בעיקרן הונח</w:t>
      </w:r>
      <w:r w:rsidR="009F7477">
        <w:rPr>
          <w:rFonts w:hint="cs"/>
          <w:rtl/>
        </w:rPr>
        <w:t>ו</w:t>
      </w:r>
      <w:r>
        <w:rPr>
          <w:rFonts w:hint="cs"/>
          <w:rtl/>
        </w:rPr>
        <w:t xml:space="preserve"> על שולחן הכנסת העשרים על ידי חבר הכנסת מכלוף מיקי זוהר (</w:t>
      </w:r>
      <w:r w:rsidRPr="001E031D">
        <w:rPr>
          <w:rtl/>
        </w:rPr>
        <w:t>פ/5770/20</w:t>
      </w:r>
      <w:r>
        <w:rPr>
          <w:rFonts w:hint="cs"/>
          <w:rtl/>
        </w:rPr>
        <w:t>) ועל ידי חבר הכנסת מוסי רז (</w:t>
      </w:r>
      <w:r>
        <w:rPr>
          <w:rtl/>
        </w:rPr>
        <w:t>פ/5778/20</w:t>
      </w:r>
      <w:r>
        <w:rPr>
          <w:rFonts w:hint="cs"/>
          <w:rtl/>
        </w:rPr>
        <w:t>) ו</w:t>
      </w:r>
      <w:r w:rsidR="009F7477">
        <w:rPr>
          <w:rFonts w:hint="cs"/>
          <w:rtl/>
        </w:rPr>
        <w:t>על שולחן הכנסת העשרים ו</w:t>
      </w:r>
      <w:r>
        <w:rPr>
          <w:rFonts w:hint="cs"/>
          <w:rtl/>
        </w:rPr>
        <w:t>שלוש על ידי חבר הכנסת ישראל אייכלר (פ/1479/23).</w:t>
      </w:r>
    </w:p>
    <w:p w14:paraId="204DB697" w14:textId="77777777" w:rsidR="00D20967" w:rsidRDefault="00D20967" w:rsidP="00D20967">
      <w:pPr>
        <w:pStyle w:val="Hesber"/>
        <w:spacing w:line="276" w:lineRule="auto"/>
        <w:ind w:firstLine="0"/>
        <w:rPr>
          <w:rtl/>
        </w:rPr>
      </w:pPr>
    </w:p>
    <w:p w14:paraId="66272FBC" w14:textId="77777777" w:rsidR="00D20967" w:rsidRPr="00D73212" w:rsidRDefault="00D20967" w:rsidP="00D20967">
      <w:pPr>
        <w:pStyle w:val="Hesber"/>
        <w:spacing w:line="276" w:lineRule="auto"/>
        <w:ind w:firstLine="0"/>
        <w:rPr>
          <w:rtl/>
        </w:rPr>
      </w:pPr>
      <w:bookmarkStart w:id="6" w:name="_GoBack"/>
      <w:bookmarkEnd w:id="6"/>
      <w:r w:rsidRPr="00D73212">
        <w:rPr>
          <w:rtl/>
        </w:rPr>
        <w:t>---------------------------------</w:t>
      </w:r>
    </w:p>
    <w:p w14:paraId="085F2487" w14:textId="77777777" w:rsidR="00D20967" w:rsidRPr="0051670D" w:rsidRDefault="00D20967" w:rsidP="00D20967">
      <w:pPr>
        <w:pStyle w:val="Hesber"/>
        <w:spacing w:line="276" w:lineRule="auto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הוגשה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ליו</w:t>
      </w:r>
      <w:r w:rsidRPr="0051670D">
        <w:rPr>
          <w:sz w:val="26"/>
          <w:rtl/>
        </w:rPr>
        <w:t>"</w:t>
      </w:r>
      <w:r w:rsidRPr="0051670D">
        <w:rPr>
          <w:rFonts w:hint="cs"/>
          <w:sz w:val="26"/>
          <w:rtl/>
        </w:rPr>
        <w:t>ר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והסגנים</w:t>
      </w:r>
    </w:p>
    <w:p w14:paraId="450911BB" w14:textId="77777777" w:rsidR="00D20967" w:rsidRPr="0051670D" w:rsidRDefault="00D20967" w:rsidP="00D20967">
      <w:pPr>
        <w:pStyle w:val="Hesber"/>
        <w:spacing w:line="276" w:lineRule="auto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והונחה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על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שולחן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ביום</w:t>
      </w:r>
    </w:p>
    <w:p w14:paraId="07F9FFBD" w14:textId="77777777" w:rsidR="00D20967" w:rsidRPr="0051670D" w:rsidRDefault="00D20967" w:rsidP="00D20967">
      <w:pPr>
        <w:pStyle w:val="Hesber"/>
        <w:spacing w:line="276" w:lineRule="auto"/>
        <w:ind w:firstLine="0"/>
        <w:rPr>
          <w:sz w:val="26"/>
          <w:rtl/>
        </w:rPr>
      </w:pPr>
      <w:r>
        <w:rPr>
          <w:rFonts w:hint="cs"/>
          <w:rtl/>
        </w:rPr>
        <w:t>א'</w:t>
      </w:r>
      <w:r w:rsidRPr="0051670D">
        <w:rPr>
          <w:rFonts w:hint="cs"/>
          <w:sz w:val="26"/>
          <w:rtl/>
        </w:rPr>
        <w:t xml:space="preserve"> ב</w:t>
      </w:r>
      <w:r>
        <w:rPr>
          <w:rFonts w:hint="cs"/>
          <w:sz w:val="26"/>
          <w:rtl/>
        </w:rPr>
        <w:t>חשוון</w:t>
      </w:r>
      <w:r w:rsidRPr="0051670D">
        <w:rPr>
          <w:rFonts w:hint="cs"/>
          <w:sz w:val="26"/>
          <w:rtl/>
        </w:rPr>
        <w:t xml:space="preserve"> התש</w:t>
      </w:r>
      <w:r>
        <w:rPr>
          <w:rFonts w:hint="cs"/>
          <w:sz w:val="26"/>
          <w:rtl/>
        </w:rPr>
        <w:t>פ"א</w:t>
      </w:r>
      <w:r w:rsidRPr="0051670D">
        <w:rPr>
          <w:rFonts w:hint="cs"/>
          <w:sz w:val="26"/>
          <w:rtl/>
        </w:rPr>
        <w:t xml:space="preserve"> </w:t>
      </w:r>
      <w:r w:rsidRPr="0051670D">
        <w:rPr>
          <w:sz w:val="26"/>
          <w:rtl/>
        </w:rPr>
        <w:t>–</w:t>
      </w:r>
      <w:r w:rsidRPr="0051670D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19.10.20</w:t>
      </w:r>
    </w:p>
    <w:p w14:paraId="336288CF" w14:textId="77777777" w:rsidR="00D20967" w:rsidRPr="001C4D6F" w:rsidRDefault="00D20967" w:rsidP="00B60CFC">
      <w:pPr>
        <w:pStyle w:val="Hesber"/>
        <w:rPr>
          <w:sz w:val="26"/>
          <w:rtl/>
        </w:rPr>
      </w:pPr>
    </w:p>
    <w:sectPr w:rsidR="00D20967" w:rsidRPr="001C4D6F" w:rsidSect="00B60CFC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D20967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B60CFC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1492EE6" w14:textId="77777777" w:rsidR="001C4D6F" w:rsidRPr="004926B6" w:rsidRDefault="001C4D6F" w:rsidP="001C4D6F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4926B6">
        <w:t> </w:t>
      </w:r>
      <w:r w:rsidRPr="003C20EF">
        <w:rPr>
          <w:rtl/>
        </w:rPr>
        <w:t xml:space="preserve">ס"ח </w:t>
      </w:r>
      <w:r>
        <w:rPr>
          <w:rFonts w:hint="cs"/>
          <w:rtl/>
        </w:rPr>
        <w:t>ה</w:t>
      </w:r>
      <w:r w:rsidRPr="003C20EF">
        <w:rPr>
          <w:rtl/>
        </w:rPr>
        <w:t>תשכ"ט</w:t>
      </w:r>
      <w:r>
        <w:rPr>
          <w:rFonts w:hint="cs"/>
          <w:rtl/>
        </w:rPr>
        <w:t>,</w:t>
      </w:r>
      <w:r w:rsidRPr="003C20EF">
        <w:rPr>
          <w:rtl/>
        </w:rPr>
        <w:t xml:space="preserve"> </w:t>
      </w:r>
      <w:r w:rsidRPr="004926B6">
        <w:rPr>
          <w:rtl/>
        </w:rPr>
        <w:t>עמ' 103</w:t>
      </w:r>
      <w:r w:rsidRPr="004926B6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C4D6F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A69F1"/>
    <w:rsid w:val="006C1D0D"/>
    <w:rsid w:val="0070601E"/>
    <w:rsid w:val="00712C72"/>
    <w:rsid w:val="00735FE9"/>
    <w:rsid w:val="00763CAA"/>
    <w:rsid w:val="00765F66"/>
    <w:rsid w:val="00784455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9F7477"/>
    <w:rsid w:val="00A1131F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0CFC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20967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2178331-D530-4CDB-9C70-52F98AD2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F1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69F1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6A69F1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6A69F1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6A69F1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A69F1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6A69F1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6A69F1"/>
    <w:rPr>
      <w:sz w:val="36"/>
      <w:szCs w:val="52"/>
    </w:rPr>
  </w:style>
  <w:style w:type="paragraph" w:customStyle="1" w:styleId="Cover3-Haknesset">
    <w:name w:val="Cover 3-Haknesset"/>
    <w:basedOn w:val="Cover1-Reshumot"/>
    <w:rsid w:val="006A69F1"/>
    <w:rPr>
      <w:b/>
      <w:bCs/>
      <w:spacing w:val="60"/>
    </w:rPr>
  </w:style>
  <w:style w:type="paragraph" w:customStyle="1" w:styleId="Cover4-Date">
    <w:name w:val="Cover 4-Date"/>
    <w:basedOn w:val="a"/>
    <w:rsid w:val="006A69F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6A69F1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6A69F1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6A69F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6A69F1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6A69F1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6A69F1"/>
    <w:pPr>
      <w:outlineLvl w:val="2"/>
    </w:pPr>
  </w:style>
  <w:style w:type="paragraph" w:customStyle="1" w:styleId="TableBlock">
    <w:name w:val="Table Block"/>
    <w:basedOn w:val="TableText"/>
    <w:rsid w:val="006A69F1"/>
    <w:pPr>
      <w:jc w:val="both"/>
    </w:pPr>
  </w:style>
  <w:style w:type="paragraph" w:customStyle="1" w:styleId="TableHead">
    <w:name w:val="Table Head"/>
    <w:basedOn w:val="TableText"/>
    <w:rsid w:val="006A69F1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6A69F1"/>
    <w:pPr>
      <w:outlineLvl w:val="9"/>
    </w:pPr>
  </w:style>
  <w:style w:type="paragraph" w:customStyle="1" w:styleId="Hesber">
    <w:name w:val="Hesber"/>
    <w:basedOn w:val="a"/>
    <w:rsid w:val="006A69F1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6A69F1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6A69F1"/>
    <w:rPr>
      <w:vertAlign w:val="superscript"/>
    </w:rPr>
  </w:style>
  <w:style w:type="paragraph" w:customStyle="1" w:styleId="HesberHeading">
    <w:name w:val="Hesber Heading"/>
    <w:basedOn w:val="Hesber"/>
    <w:rsid w:val="006A69F1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6A69F1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6A69F1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6A69F1"/>
    <w:rPr>
      <w:vertAlign w:val="superscript"/>
    </w:rPr>
  </w:style>
  <w:style w:type="paragraph" w:customStyle="1" w:styleId="TableBlockOutdent">
    <w:name w:val="Table BlockOutdent"/>
    <w:basedOn w:val="TableBlock"/>
    <w:rsid w:val="006A69F1"/>
    <w:pPr>
      <w:ind w:left="624" w:hanging="624"/>
    </w:pPr>
  </w:style>
  <w:style w:type="paragraph" w:styleId="a7">
    <w:name w:val="header"/>
    <w:basedOn w:val="a"/>
    <w:rsid w:val="006A69F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6A69F1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6A69F1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6A69F1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6A69F1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6A69F1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6A69F1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6A69F1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6A69F1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6A69F1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6A69F1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6A69F1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6A69F1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6A69F1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6A69F1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6A69F1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6A69F1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6A69F1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6A69F1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6A69F1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6A69F1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6A69F1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6A69F1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6A69F1"/>
    <w:rPr>
      <w:rFonts w:eastAsia="Times New Roman"/>
    </w:rPr>
  </w:style>
  <w:style w:type="paragraph" w:styleId="ae">
    <w:name w:val="List Paragraph"/>
    <w:basedOn w:val="a"/>
    <w:uiPriority w:val="34"/>
    <w:qFormat/>
    <w:rsid w:val="006A69F1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6A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A69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6A69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6A69F1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6A69F1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1">
    <w:name w:val="Revision"/>
    <w:hidden/>
    <w:uiPriority w:val="99"/>
    <w:semiHidden/>
    <w:rsid w:val="00B60CFC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9640-E8C2-476D-BC76-15FBFE3E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9D1C7-2349-4B66-BE72-8B74A638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10</cp:revision>
  <cp:lastPrinted>2020-10-13T12:56:00Z</cp:lastPrinted>
  <dcterms:created xsi:type="dcterms:W3CDTF">2015-04-20T09:58:00Z</dcterms:created>
  <dcterms:modified xsi:type="dcterms:W3CDTF">2020-10-15T11:02:00Z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2146626</vt:r8>
  </property>
</Properties>
</file>