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2144491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ושלוש</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שלמה קרעי</w:t>
      </w:r>
      <w:r>
        <w:br/>
      </w:r>
      <w:r>
        <w:rPr>
          <w:rFonts w:hint="cs"/>
          <w:b/>
          <w:bCs/>
          <w:rtl/>
        </w:rPr>
        <w:t xml:space="preserve"> </w:t>
      </w:r>
      <w:r>
        <w:tab/>
      </w:r>
      <w:r>
        <w:tab/>
      </w:r>
      <w:r>
        <w:tab/>
      </w:r>
      <w:r>
        <w:tab/>
      </w:r>
      <w:r>
        <w:rPr>
          <w:rFonts w:hint="cs"/>
          <w:b/>
          <w:bCs/>
          <w:rtl/>
        </w:rPr>
        <w:t>תהלה פרידמן</w:t>
      </w:r>
      <w:r>
        <w:br/>
      </w:r>
      <w:r>
        <w:rPr>
          <w:rFonts w:hint="cs"/>
          <w:b/>
          <w:bCs/>
          <w:rtl/>
        </w:rPr>
        <w:t xml:space="preserve"> </w:t>
      </w:r>
      <w:r>
        <w:tab/>
      </w:r>
      <w:r>
        <w:tab/>
      </w:r>
      <w:r>
        <w:tab/>
      </w:r>
      <w:r>
        <w:tab/>
      </w:r>
      <w:r>
        <w:rPr>
          <w:rFonts w:hint="cs"/>
          <w:b/>
          <w:bCs/>
          <w:rtl/>
        </w:rPr>
        <w:t>רם בן ברק</w:t>
      </w:r>
      <w:r>
        <w:br/>
      </w:r>
      <w:r>
        <w:rPr>
          <w:rFonts w:hint="cs"/>
          <w:b/>
          <w:bCs/>
          <w:rtl/>
        </w:rPr>
        <w:t xml:space="preserve"> </w:t>
      </w:r>
      <w:r>
        <w:tab/>
      </w:r>
      <w:r>
        <w:tab/>
      </w:r>
      <w:r>
        <w:tab/>
      </w:r>
      <w:r>
        <w:tab/>
      </w:r>
      <w:r>
        <w:rPr>
          <w:rFonts w:hint="cs"/>
          <w:b/>
          <w:bCs/>
          <w:rtl/>
        </w:rPr>
        <w:t>טלי פלוסקוב</w:t>
      </w:r>
      <w:r>
        <w:br/>
      </w:r>
      <w:r>
        <w:rPr>
          <w:rFonts w:hint="cs"/>
          <w:b/>
          <w:bCs/>
          <w:rtl/>
        </w:rPr>
        <w:t xml:space="preserve"> </w:t>
      </w:r>
      <w:r>
        <w:tab/>
      </w:r>
      <w:r>
        <w:tab/>
      </w:r>
      <w:r>
        <w:tab/>
      </w:r>
      <w:r>
        <w:tab/>
      </w:r>
      <w:r>
        <w:rPr>
          <w:rFonts w:hint="cs"/>
          <w:b/>
          <w:bCs/>
          <w:rtl/>
        </w:rPr>
        <w:t>משה אבוטבול</w:t>
      </w:r>
      <w:r>
        <w:br/>
      </w:r>
      <w:r>
        <w:rPr>
          <w:rFonts w:hint="cs"/>
          <w:b/>
          <w:bCs/>
          <w:rtl/>
        </w:rPr>
        <w:t xml:space="preserve"> </w:t>
      </w:r>
      <w:r>
        <w:tab/>
      </w:r>
      <w:r>
        <w:tab/>
      </w:r>
      <w:r>
        <w:tab/>
      </w:r>
      <w:r>
        <w:tab/>
      </w:r>
      <w:r>
        <w:rPr>
          <w:rFonts w:hint="cs"/>
          <w:b/>
          <w:bCs/>
          <w:rtl/>
        </w:rPr>
        <w:t>אריאל קלנר</w:t>
      </w:r>
      <w:r>
        <w:br/>
      </w:r>
      <w:r>
        <w:rPr>
          <w:rFonts w:hint="cs"/>
          <w:b/>
          <w:bCs/>
          <w:rtl/>
        </w:rPr>
        <w:t xml:space="preserve"> </w:t>
      </w:r>
      <w:r>
        <w:tab/>
      </w:r>
      <w:r>
        <w:tab/>
      </w:r>
      <w:r>
        <w:tab/>
      </w:r>
      <w:r>
        <w:tab/>
      </w:r>
      <w:r>
        <w:rPr>
          <w:rFonts w:hint="cs"/>
          <w:b/>
          <w:bCs/>
          <w:rtl/>
        </w:rPr>
        <w:t>מיכאל מלכיאלי</w:t>
      </w:r>
      <w:r>
        <w:br/>
      </w:r>
      <w:r>
        <w:rPr>
          <w:rFonts w:hint="cs"/>
          <w:b/>
          <w:bCs/>
          <w:rtl/>
        </w:rPr>
        <w:t xml:space="preserve"> </w:t>
      </w:r>
      <w:r>
        <w:tab/>
      </w:r>
      <w:r>
        <w:tab/>
      </w:r>
      <w:r>
        <w:tab/>
      </w:r>
      <w:r>
        <w:tab/>
      </w:r>
      <w:r>
        <w:rPr>
          <w:rFonts w:hint="cs"/>
          <w:b/>
          <w:bCs/>
          <w:rtl/>
        </w:rPr>
        <w:t>תמר זנדברג</w:t>
      </w:r>
      <w:r>
        <w:br/>
      </w:r>
      <w:r>
        <w:rPr>
          <w:rFonts w:hint="cs"/>
          <w:b/>
          <w:bCs/>
          <w:rtl/>
        </w:rPr>
        <w:t xml:space="preserve"> </w:t>
      </w:r>
      <w:r>
        <w:tab/>
      </w:r>
      <w:r>
        <w:tab/>
      </w:r>
      <w:r>
        <w:tab/>
      </w:r>
      <w:r>
        <w:tab/>
      </w:r>
      <w:r>
        <w:rPr>
          <w:rFonts w:hint="cs"/>
          <w:b/>
          <w:bCs/>
          <w:rtl/>
        </w:rPr>
        <w:t>עמית הלוי</w:t>
      </w:r>
      <w:r>
        <w:br/>
      </w:r>
      <w:r>
        <w:rPr>
          <w:rFonts w:hint="cs"/>
          <w:b/>
          <w:bCs/>
          <w:rtl/>
        </w:rPr>
        <w:t xml:space="preserve"> </w:t>
      </w:r>
      <w:r>
        <w:tab/>
      </w:r>
      <w:r>
        <w:tab/>
      </w:r>
      <w:r>
        <w:tab/>
      </w:r>
      <w:r>
        <w:tab/>
      </w:r>
      <w:r>
        <w:rPr>
          <w:rFonts w:hint="cs"/>
          <w:b/>
          <w:bCs/>
          <w:rtl/>
        </w:rPr>
        <w:t>קרן ברק</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5CB934EC" w:rsidR="00E13C27" w:rsidRDefault="00904591" w:rsidP="00F77AD9">
      <w:pPr>
        <w:pStyle w:val="David"/>
        <w:spacing w:before="0" w:line="240" w:lineRule="auto"/>
        <w:ind w:left="3544"/>
        <w:rPr>
          <w:rtl/>
        </w:rPr>
      </w:pPr>
      <w:r>
        <w:t xml:space="preserve">                                            </w:t>
      </w:r>
      <w:r w:rsidR="008F1308">
        <w:t xml:space="preserve"> </w:t>
      </w:r>
      <w:bookmarkStart w:id="6" w:name="Private_Number"/>
      <w:r>
        <w:rPr>
          <w:rFonts w:hint="cs"/>
          <w:rtl/>
        </w:rPr>
        <w:t>פ/2075/23</w:t>
      </w:r>
      <w:bookmarkEnd w:id="6"/>
    </w:p>
    <w:p w14:paraId="7F6961AD" w14:textId="7C8CBACF" w:rsidR="00E13C27" w:rsidRPr="00F67051" w:rsidRDefault="00A443CF" w:rsidP="00D007C4">
      <w:pPr>
        <w:pStyle w:val="HeadHatzaotHok"/>
        <w:rPr>
          <w:rtl/>
        </w:rPr>
      </w:pPr>
      <w:bookmarkStart w:id="7" w:name="LGS_Subject"/>
      <w:r>
        <w:rPr>
          <w:rFonts w:hint="cs"/>
          <w:rtl/>
        </w:rPr>
        <w:t>הצעת חוק חיזוק מעמד חברי המועצה מקרב סיעות האופוזיציה (תיקוני חקיקה), התש"ף–2020</w:t>
      </w:r>
      <w:bookmarkEnd w:id="7"/>
    </w:p>
    <w:p w14:paraId="7F6961AE" w14:textId="77777777" w:rsidR="00E13C27" w:rsidRDefault="00E13C27" w:rsidP="0021633A">
      <w:pPr>
        <w:pStyle w:val="HeadDivreiHesber"/>
        <w:spacing w:before="0" w:after="0"/>
        <w:rPr>
          <w:rtl/>
        </w:rPr>
      </w:pPr>
    </w:p>
    <w:tbl>
      <w:tblPr>
        <w:bidiVisual/>
        <w:tblW w:w="9640"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628"/>
        <w:gridCol w:w="621"/>
        <w:gridCol w:w="4642"/>
        <w:gridCol w:w="7"/>
      </w:tblGrid>
      <w:tr w:rsidR="00B42A30" w14:paraId="633D88AC" w14:textId="77777777" w:rsidTr="00F77AD9">
        <w:trPr>
          <w:gridAfter w:val="1"/>
          <w:wAfter w:w="7" w:type="dxa"/>
          <w:cantSplit/>
        </w:trPr>
        <w:tc>
          <w:tcPr>
            <w:tcW w:w="1870" w:type="dxa"/>
          </w:tcPr>
          <w:p w14:paraId="0AF61747" w14:textId="3DE78006" w:rsidR="00F51E6F" w:rsidRDefault="00A65659" w:rsidP="00DB1190">
            <w:pPr>
              <w:pStyle w:val="TableSideHeading"/>
            </w:pPr>
            <w:r>
              <w:rPr>
                <w:rFonts w:hint="cs"/>
                <w:rtl/>
              </w:rPr>
              <w:t xml:space="preserve">תיקון </w:t>
            </w:r>
            <w:r w:rsidR="009A5CC6">
              <w:rPr>
                <w:rFonts w:hint="cs"/>
                <w:rtl/>
              </w:rPr>
              <w:t>פקודת העיריות</w:t>
            </w:r>
            <w:r>
              <w:rPr>
                <w:rFonts w:hint="cs"/>
                <w:rtl/>
              </w:rPr>
              <w:t xml:space="preserve"> </w:t>
            </w:r>
          </w:p>
        </w:tc>
        <w:tc>
          <w:tcPr>
            <w:tcW w:w="624" w:type="dxa"/>
          </w:tcPr>
          <w:p w14:paraId="1DE7B079" w14:textId="77777777" w:rsidR="00F51E6F" w:rsidRDefault="00F51E6F" w:rsidP="006A78F2">
            <w:pPr>
              <w:pStyle w:val="TableText"/>
              <w:rPr>
                <w:rtl/>
              </w:rPr>
            </w:pPr>
            <w:r>
              <w:rPr>
                <w:rFonts w:hint="cs"/>
                <w:rtl/>
              </w:rPr>
              <w:t xml:space="preserve">1. </w:t>
            </w:r>
          </w:p>
        </w:tc>
        <w:tc>
          <w:tcPr>
            <w:tcW w:w="7139" w:type="dxa"/>
            <w:gridSpan w:val="5"/>
          </w:tcPr>
          <w:p w14:paraId="5C69D5D7" w14:textId="78640DF3" w:rsidR="00F51E6F" w:rsidRDefault="00FB7815" w:rsidP="00BF36CC">
            <w:pPr>
              <w:pStyle w:val="TableBlock"/>
              <w:rPr>
                <w:rtl/>
              </w:rPr>
            </w:pPr>
            <w:r>
              <w:rPr>
                <w:rFonts w:hint="cs"/>
                <w:rtl/>
              </w:rPr>
              <w:t>בפקודת העיריות</w:t>
            </w:r>
            <w:r>
              <w:rPr>
                <w:rStyle w:val="a6"/>
                <w:rtl/>
              </w:rPr>
              <w:footnoteReference w:id="2"/>
            </w:r>
            <w:r w:rsidR="00BF36CC">
              <w:rPr>
                <w:rFonts w:hint="cs"/>
                <w:rtl/>
              </w:rPr>
              <w:t xml:space="preserve"> </w:t>
            </w:r>
            <w:r w:rsidR="0025402D">
              <w:rPr>
                <w:rtl/>
              </w:rPr>
              <w:t>–</w:t>
            </w:r>
            <w:r w:rsidR="0025402D">
              <w:rPr>
                <w:rFonts w:hint="cs"/>
                <w:rtl/>
              </w:rPr>
              <w:t xml:space="preserve"> </w:t>
            </w:r>
            <w:r>
              <w:rPr>
                <w:rFonts w:hint="cs"/>
                <w:rtl/>
              </w:rPr>
              <w:t xml:space="preserve"> </w:t>
            </w:r>
          </w:p>
        </w:tc>
      </w:tr>
      <w:tr w:rsidR="00B42A30" w14:paraId="160426B5" w14:textId="77777777" w:rsidTr="00F77AD9">
        <w:trPr>
          <w:gridAfter w:val="1"/>
          <w:wAfter w:w="7" w:type="dxa"/>
          <w:cantSplit/>
        </w:trPr>
        <w:tc>
          <w:tcPr>
            <w:tcW w:w="1870" w:type="dxa"/>
          </w:tcPr>
          <w:p w14:paraId="31A63133" w14:textId="77777777" w:rsidR="0025402D" w:rsidRDefault="0025402D" w:rsidP="00DB1190">
            <w:pPr>
              <w:pStyle w:val="TableSideHeading"/>
              <w:rPr>
                <w:rtl/>
              </w:rPr>
            </w:pPr>
          </w:p>
        </w:tc>
        <w:tc>
          <w:tcPr>
            <w:tcW w:w="624" w:type="dxa"/>
          </w:tcPr>
          <w:p w14:paraId="4FBA3E54" w14:textId="77777777" w:rsidR="0025402D" w:rsidRDefault="0025402D" w:rsidP="006A78F2">
            <w:pPr>
              <w:pStyle w:val="TableText"/>
              <w:rPr>
                <w:rtl/>
              </w:rPr>
            </w:pPr>
          </w:p>
        </w:tc>
        <w:tc>
          <w:tcPr>
            <w:tcW w:w="7139" w:type="dxa"/>
            <w:gridSpan w:val="5"/>
          </w:tcPr>
          <w:p w14:paraId="36F5FD53" w14:textId="44D2EC42" w:rsidR="0025402D" w:rsidRDefault="0025402D" w:rsidP="00F77AD9">
            <w:pPr>
              <w:pStyle w:val="TableBlock"/>
              <w:rPr>
                <w:rtl/>
              </w:rPr>
            </w:pPr>
            <w:r w:rsidRPr="00521FE0">
              <w:rPr>
                <w:rFonts w:hint="cs"/>
                <w:rtl/>
              </w:rPr>
              <w:t>(1</w:t>
            </w:r>
            <w:r>
              <w:rPr>
                <w:rFonts w:hint="cs"/>
                <w:rtl/>
              </w:rPr>
              <w:t>)</w:t>
            </w:r>
            <w:r>
              <w:rPr>
                <w:rFonts w:hint="cs"/>
                <w:rtl/>
              </w:rPr>
              <w:tab/>
              <w:t xml:space="preserve"> </w:t>
            </w:r>
            <w:r w:rsidR="008E14CF">
              <w:rPr>
                <w:rFonts w:hint="cs"/>
                <w:rtl/>
              </w:rPr>
              <w:t>בסעיף 1</w:t>
            </w:r>
            <w:r w:rsidR="00BF36CC">
              <w:rPr>
                <w:rFonts w:hint="cs"/>
                <w:rtl/>
              </w:rPr>
              <w:t>,</w:t>
            </w:r>
            <w:r w:rsidR="008E14CF">
              <w:rPr>
                <w:rFonts w:hint="cs"/>
                <w:rtl/>
              </w:rPr>
              <w:t xml:space="preserve"> </w:t>
            </w:r>
            <w:r>
              <w:rPr>
                <w:rFonts w:hint="cs"/>
                <w:rtl/>
              </w:rPr>
              <w:t xml:space="preserve">אחרי ההגדרה </w:t>
            </w:r>
            <w:r w:rsidR="008E14CF">
              <w:rPr>
                <w:rFonts w:hint="cs"/>
                <w:rtl/>
              </w:rPr>
              <w:t>"חבר מועצה"</w:t>
            </w:r>
            <w:r>
              <w:rPr>
                <w:rFonts w:hint="cs"/>
                <w:rtl/>
              </w:rPr>
              <w:t xml:space="preserve"> יבוא: </w:t>
            </w:r>
          </w:p>
        </w:tc>
      </w:tr>
      <w:tr w:rsidR="00B42A30" w14:paraId="01BAD915" w14:textId="77777777" w:rsidTr="00F77AD9">
        <w:trPr>
          <w:gridAfter w:val="1"/>
          <w:wAfter w:w="7" w:type="dxa"/>
          <w:cantSplit/>
        </w:trPr>
        <w:tc>
          <w:tcPr>
            <w:tcW w:w="1870" w:type="dxa"/>
          </w:tcPr>
          <w:p w14:paraId="6E497C69" w14:textId="77777777" w:rsidR="009B5440" w:rsidRDefault="009B5440" w:rsidP="006A78F2">
            <w:pPr>
              <w:pStyle w:val="TableSideHeading"/>
              <w:rPr>
                <w:rtl/>
              </w:rPr>
            </w:pPr>
          </w:p>
        </w:tc>
        <w:tc>
          <w:tcPr>
            <w:tcW w:w="624" w:type="dxa"/>
          </w:tcPr>
          <w:p w14:paraId="1436C354" w14:textId="77777777" w:rsidR="009B5440" w:rsidRDefault="009B5440" w:rsidP="00DB1190">
            <w:pPr>
              <w:pStyle w:val="TableText"/>
              <w:rPr>
                <w:rtl/>
              </w:rPr>
            </w:pPr>
          </w:p>
        </w:tc>
        <w:tc>
          <w:tcPr>
            <w:tcW w:w="7139" w:type="dxa"/>
            <w:gridSpan w:val="5"/>
          </w:tcPr>
          <w:p w14:paraId="13F038AC" w14:textId="5BBB7227" w:rsidR="009B5440" w:rsidRPr="009B5440" w:rsidRDefault="009B5440" w:rsidP="00F77AD9">
            <w:pPr>
              <w:pStyle w:val="TableBlockOutdent"/>
              <w:rPr>
                <w:rtl/>
              </w:rPr>
            </w:pPr>
            <w:r>
              <w:rPr>
                <w:rtl/>
              </w:rPr>
              <w:t>"</w:t>
            </w:r>
            <w:r w:rsidR="007264BA">
              <w:rPr>
                <w:rFonts w:hint="cs"/>
                <w:rtl/>
              </w:rPr>
              <w:t>"</w:t>
            </w:r>
            <w:r>
              <w:rPr>
                <w:rFonts w:hint="cs"/>
                <w:rtl/>
              </w:rPr>
              <w:t>יושב ראש האופוזיציה</w:t>
            </w:r>
            <w:r w:rsidR="007264BA">
              <w:rPr>
                <w:rFonts w:hint="cs"/>
                <w:rtl/>
              </w:rPr>
              <w:t>"</w:t>
            </w:r>
            <w:r>
              <w:rPr>
                <w:rFonts w:hint="cs"/>
                <w:rtl/>
              </w:rPr>
              <w:t xml:space="preserve"> </w:t>
            </w:r>
            <w:r>
              <w:rPr>
                <w:rtl/>
              </w:rPr>
              <w:t>–</w:t>
            </w:r>
            <w:r>
              <w:rPr>
                <w:rFonts w:hint="cs"/>
                <w:rtl/>
              </w:rPr>
              <w:t xml:space="preserve"> ראש הסיעה הג</w:t>
            </w:r>
            <w:r w:rsidR="004327D0">
              <w:rPr>
                <w:rFonts w:hint="cs"/>
                <w:rtl/>
              </w:rPr>
              <w:t>דולה ביותר, אשר התקיימו בסיעתו</w:t>
            </w:r>
            <w:r w:rsidR="00980C2D">
              <w:rPr>
                <w:rFonts w:hint="cs"/>
                <w:rtl/>
              </w:rPr>
              <w:t>, בין היתר, לפחות</w:t>
            </w:r>
            <w:r w:rsidR="004327D0">
              <w:rPr>
                <w:rFonts w:hint="cs"/>
                <w:rtl/>
              </w:rPr>
              <w:t xml:space="preserve"> </w:t>
            </w:r>
            <w:r>
              <w:rPr>
                <w:rFonts w:hint="cs"/>
                <w:rtl/>
              </w:rPr>
              <w:t>כל אלה:</w:t>
            </w:r>
          </w:p>
        </w:tc>
      </w:tr>
      <w:tr w:rsidR="00B42A30" w14:paraId="1488EE8D" w14:textId="77777777" w:rsidTr="00F77AD9">
        <w:trPr>
          <w:gridAfter w:val="1"/>
          <w:wAfter w:w="7" w:type="dxa"/>
          <w:cantSplit/>
        </w:trPr>
        <w:tc>
          <w:tcPr>
            <w:tcW w:w="1870" w:type="dxa"/>
          </w:tcPr>
          <w:p w14:paraId="35235A56" w14:textId="77777777" w:rsidR="00DC48C7" w:rsidRDefault="00DC48C7">
            <w:pPr>
              <w:pStyle w:val="TableSideHeading"/>
            </w:pPr>
          </w:p>
        </w:tc>
        <w:tc>
          <w:tcPr>
            <w:tcW w:w="624" w:type="dxa"/>
          </w:tcPr>
          <w:p w14:paraId="284D5D2D" w14:textId="77777777" w:rsidR="00DC48C7" w:rsidRDefault="00DC48C7">
            <w:pPr>
              <w:pStyle w:val="TableText"/>
            </w:pPr>
          </w:p>
        </w:tc>
        <w:tc>
          <w:tcPr>
            <w:tcW w:w="624" w:type="dxa"/>
          </w:tcPr>
          <w:p w14:paraId="3AFC4936" w14:textId="77777777" w:rsidR="00DC48C7" w:rsidRDefault="00DC48C7">
            <w:pPr>
              <w:pStyle w:val="TableText"/>
            </w:pPr>
          </w:p>
        </w:tc>
        <w:tc>
          <w:tcPr>
            <w:tcW w:w="6515" w:type="dxa"/>
            <w:gridSpan w:val="4"/>
          </w:tcPr>
          <w:p w14:paraId="7B91697E" w14:textId="7F778A58" w:rsidR="00DC48C7" w:rsidRPr="007264BA" w:rsidRDefault="007264BA" w:rsidP="00F77AD9">
            <w:pPr>
              <w:pStyle w:val="TableBlock"/>
              <w:numPr>
                <w:ilvl w:val="0"/>
                <w:numId w:val="20"/>
              </w:numPr>
              <w:tabs>
                <w:tab w:val="left" w:pos="624"/>
              </w:tabs>
            </w:pPr>
            <w:r>
              <w:rPr>
                <w:rFonts w:hint="cs"/>
                <w:rtl/>
              </w:rPr>
              <w:t>סיעתו שונה מסיעת</w:t>
            </w:r>
            <w:r w:rsidR="008246E4">
              <w:rPr>
                <w:rFonts w:hint="cs"/>
                <w:rtl/>
              </w:rPr>
              <w:t>ו של</w:t>
            </w:r>
            <w:r>
              <w:rPr>
                <w:rFonts w:hint="cs"/>
                <w:rtl/>
              </w:rPr>
              <w:t xml:space="preserve"> ראש העירייה;</w:t>
            </w:r>
          </w:p>
        </w:tc>
      </w:tr>
      <w:tr w:rsidR="00B42A30" w14:paraId="39226BFA" w14:textId="77777777" w:rsidTr="00F77AD9">
        <w:trPr>
          <w:gridAfter w:val="1"/>
          <w:wAfter w:w="7" w:type="dxa"/>
          <w:cantSplit/>
        </w:trPr>
        <w:tc>
          <w:tcPr>
            <w:tcW w:w="1870" w:type="dxa"/>
          </w:tcPr>
          <w:p w14:paraId="34F74D97" w14:textId="77777777" w:rsidR="007264BA" w:rsidRDefault="007264BA">
            <w:pPr>
              <w:pStyle w:val="TableSideHeading"/>
            </w:pPr>
          </w:p>
        </w:tc>
        <w:tc>
          <w:tcPr>
            <w:tcW w:w="624" w:type="dxa"/>
          </w:tcPr>
          <w:p w14:paraId="0E685B45" w14:textId="77777777" w:rsidR="007264BA" w:rsidRDefault="007264BA">
            <w:pPr>
              <w:pStyle w:val="TableText"/>
            </w:pPr>
          </w:p>
        </w:tc>
        <w:tc>
          <w:tcPr>
            <w:tcW w:w="624" w:type="dxa"/>
          </w:tcPr>
          <w:p w14:paraId="54822F7F" w14:textId="77777777" w:rsidR="007264BA" w:rsidRDefault="007264BA">
            <w:pPr>
              <w:pStyle w:val="TableText"/>
            </w:pPr>
          </w:p>
        </w:tc>
        <w:tc>
          <w:tcPr>
            <w:tcW w:w="6515" w:type="dxa"/>
            <w:gridSpan w:val="4"/>
          </w:tcPr>
          <w:p w14:paraId="2164F547" w14:textId="093F6414" w:rsidR="007264BA" w:rsidRDefault="007264BA" w:rsidP="00F77AD9">
            <w:pPr>
              <w:pStyle w:val="TableBlock"/>
              <w:numPr>
                <w:ilvl w:val="0"/>
                <w:numId w:val="20"/>
              </w:numPr>
              <w:tabs>
                <w:tab w:val="left" w:pos="624"/>
              </w:tabs>
              <w:rPr>
                <w:rtl/>
              </w:rPr>
            </w:pPr>
            <w:r>
              <w:rPr>
                <w:rFonts w:hint="cs"/>
                <w:rtl/>
              </w:rPr>
              <w:t>לסיעתו אין ייצוג בוועדת ההנהלה;</w:t>
            </w:r>
          </w:p>
        </w:tc>
      </w:tr>
      <w:tr w:rsidR="00B42A30" w14:paraId="108990F9" w14:textId="77777777" w:rsidTr="00F77AD9">
        <w:trPr>
          <w:gridAfter w:val="1"/>
          <w:wAfter w:w="7" w:type="dxa"/>
          <w:cantSplit/>
        </w:trPr>
        <w:tc>
          <w:tcPr>
            <w:tcW w:w="1870" w:type="dxa"/>
          </w:tcPr>
          <w:p w14:paraId="2AD55759" w14:textId="77777777" w:rsidR="007264BA" w:rsidRDefault="007264BA">
            <w:pPr>
              <w:pStyle w:val="TableSideHeading"/>
            </w:pPr>
          </w:p>
        </w:tc>
        <w:tc>
          <w:tcPr>
            <w:tcW w:w="624" w:type="dxa"/>
          </w:tcPr>
          <w:p w14:paraId="5584B883" w14:textId="77777777" w:rsidR="007264BA" w:rsidRDefault="007264BA">
            <w:pPr>
              <w:pStyle w:val="TableText"/>
            </w:pPr>
          </w:p>
        </w:tc>
        <w:tc>
          <w:tcPr>
            <w:tcW w:w="624" w:type="dxa"/>
          </w:tcPr>
          <w:p w14:paraId="5FA768DB" w14:textId="77777777" w:rsidR="007264BA" w:rsidRDefault="007264BA">
            <w:pPr>
              <w:pStyle w:val="TableText"/>
            </w:pPr>
          </w:p>
        </w:tc>
        <w:tc>
          <w:tcPr>
            <w:tcW w:w="6515" w:type="dxa"/>
            <w:gridSpan w:val="4"/>
          </w:tcPr>
          <w:p w14:paraId="346E8FA6" w14:textId="3A60D5C5" w:rsidR="007264BA" w:rsidRDefault="008246E4" w:rsidP="00F77AD9">
            <w:pPr>
              <w:pStyle w:val="TableBlock"/>
              <w:numPr>
                <w:ilvl w:val="0"/>
                <w:numId w:val="20"/>
              </w:numPr>
              <w:tabs>
                <w:tab w:val="left" w:pos="624"/>
              </w:tabs>
              <w:rPr>
                <w:rtl/>
              </w:rPr>
            </w:pPr>
            <w:r>
              <w:rPr>
                <w:rFonts w:hint="cs"/>
                <w:rtl/>
              </w:rPr>
              <w:t>מ</w:t>
            </w:r>
            <w:r w:rsidR="007264BA">
              <w:rPr>
                <w:rFonts w:hint="cs"/>
                <w:rtl/>
              </w:rPr>
              <w:t xml:space="preserve">סיעתו </w:t>
            </w:r>
            <w:r>
              <w:rPr>
                <w:rFonts w:hint="cs"/>
                <w:rtl/>
              </w:rPr>
              <w:t>לא מונו</w:t>
            </w:r>
            <w:r w:rsidR="007264BA">
              <w:rPr>
                <w:rFonts w:hint="cs"/>
                <w:rtl/>
              </w:rPr>
              <w:t xml:space="preserve"> סגנים לראש העירייה;</w:t>
            </w:r>
          </w:p>
        </w:tc>
      </w:tr>
      <w:tr w:rsidR="00B42A30" w14:paraId="65412577" w14:textId="77777777" w:rsidTr="00F77AD9">
        <w:trPr>
          <w:gridAfter w:val="1"/>
          <w:wAfter w:w="7" w:type="dxa"/>
          <w:cantSplit/>
        </w:trPr>
        <w:tc>
          <w:tcPr>
            <w:tcW w:w="1870" w:type="dxa"/>
          </w:tcPr>
          <w:p w14:paraId="05EC2771" w14:textId="77777777" w:rsidR="007264BA" w:rsidRDefault="007264BA">
            <w:pPr>
              <w:pStyle w:val="TableSideHeading"/>
            </w:pPr>
          </w:p>
        </w:tc>
        <w:tc>
          <w:tcPr>
            <w:tcW w:w="624" w:type="dxa"/>
          </w:tcPr>
          <w:p w14:paraId="4FB1C6EF" w14:textId="77777777" w:rsidR="007264BA" w:rsidRDefault="007264BA">
            <w:pPr>
              <w:pStyle w:val="TableText"/>
            </w:pPr>
          </w:p>
        </w:tc>
        <w:tc>
          <w:tcPr>
            <w:tcW w:w="624" w:type="dxa"/>
          </w:tcPr>
          <w:p w14:paraId="72299118" w14:textId="77777777" w:rsidR="007264BA" w:rsidRDefault="007264BA">
            <w:pPr>
              <w:pStyle w:val="TableText"/>
            </w:pPr>
          </w:p>
        </w:tc>
        <w:tc>
          <w:tcPr>
            <w:tcW w:w="6515" w:type="dxa"/>
            <w:gridSpan w:val="4"/>
          </w:tcPr>
          <w:p w14:paraId="3FB0307E" w14:textId="31A83F73" w:rsidR="007264BA" w:rsidRDefault="007264BA" w:rsidP="00F77AD9">
            <w:pPr>
              <w:pStyle w:val="TableBlock"/>
              <w:numPr>
                <w:ilvl w:val="0"/>
                <w:numId w:val="20"/>
              </w:numPr>
              <w:tabs>
                <w:tab w:val="left" w:pos="624"/>
              </w:tabs>
              <w:rPr>
                <w:rtl/>
              </w:rPr>
            </w:pPr>
            <w:r>
              <w:rPr>
                <w:rFonts w:hint="cs"/>
                <w:rtl/>
              </w:rPr>
              <w:t xml:space="preserve">סיעתו </w:t>
            </w:r>
            <w:r w:rsidR="001D67BA">
              <w:rPr>
                <w:rFonts w:hint="cs"/>
                <w:rtl/>
              </w:rPr>
              <w:t>אינה קשורה בהסכם המתייחס ל</w:t>
            </w:r>
            <w:r>
              <w:rPr>
                <w:rFonts w:hint="cs"/>
                <w:rtl/>
              </w:rPr>
              <w:t>כהונת ראש העירייה או לניהול העירייה</w:t>
            </w:r>
            <w:r w:rsidR="00BF36CC">
              <w:rPr>
                <w:rFonts w:hint="cs"/>
                <w:rtl/>
              </w:rPr>
              <w:t>;";</w:t>
            </w:r>
          </w:p>
        </w:tc>
      </w:tr>
      <w:tr w:rsidR="00B42A30" w14:paraId="19B1A6D1" w14:textId="77777777" w:rsidTr="00F77AD9">
        <w:trPr>
          <w:gridAfter w:val="1"/>
          <w:wAfter w:w="7" w:type="dxa"/>
          <w:cantSplit/>
        </w:trPr>
        <w:tc>
          <w:tcPr>
            <w:tcW w:w="1870" w:type="dxa"/>
          </w:tcPr>
          <w:p w14:paraId="5E07E5AF" w14:textId="1BBE664E" w:rsidR="00B67AE0" w:rsidRDefault="00B67AE0">
            <w:pPr>
              <w:pStyle w:val="TableSideHeading"/>
            </w:pPr>
          </w:p>
        </w:tc>
        <w:tc>
          <w:tcPr>
            <w:tcW w:w="624" w:type="dxa"/>
          </w:tcPr>
          <w:p w14:paraId="70034981" w14:textId="068AF838" w:rsidR="00B67AE0" w:rsidRDefault="00B67AE0">
            <w:pPr>
              <w:pStyle w:val="TableText"/>
            </w:pPr>
          </w:p>
        </w:tc>
        <w:tc>
          <w:tcPr>
            <w:tcW w:w="7139" w:type="dxa"/>
            <w:gridSpan w:val="5"/>
          </w:tcPr>
          <w:p w14:paraId="4927DF63" w14:textId="317829ED" w:rsidR="00B67AE0" w:rsidRPr="00C34DE2" w:rsidRDefault="00896FDD" w:rsidP="00BF36CC">
            <w:pPr>
              <w:pStyle w:val="TableBlock"/>
            </w:pPr>
            <w:r>
              <w:rPr>
                <w:rFonts w:hint="cs"/>
                <w:rtl/>
              </w:rPr>
              <w:t>(2)</w:t>
            </w:r>
            <w:r>
              <w:rPr>
                <w:rtl/>
              </w:rPr>
              <w:tab/>
            </w:r>
            <w:r w:rsidR="00917D57">
              <w:rPr>
                <w:rFonts w:hint="cs"/>
                <w:rtl/>
              </w:rPr>
              <w:t xml:space="preserve">אחרי סעיף 125ג יבוא: </w:t>
            </w:r>
          </w:p>
        </w:tc>
      </w:tr>
      <w:tr w:rsidR="00B42A30" w14:paraId="5FC0B5BE" w14:textId="77777777" w:rsidTr="00F77AD9">
        <w:trPr>
          <w:gridAfter w:val="1"/>
          <w:wAfter w:w="7" w:type="dxa"/>
          <w:cantSplit/>
        </w:trPr>
        <w:tc>
          <w:tcPr>
            <w:tcW w:w="1870" w:type="dxa"/>
          </w:tcPr>
          <w:p w14:paraId="4930B01D" w14:textId="2BA583F1" w:rsidR="00776D6D" w:rsidRDefault="00776D6D">
            <w:pPr>
              <w:pStyle w:val="TableSideHeading"/>
              <w:keepLines w:val="0"/>
            </w:pPr>
          </w:p>
        </w:tc>
        <w:tc>
          <w:tcPr>
            <w:tcW w:w="624" w:type="dxa"/>
          </w:tcPr>
          <w:p w14:paraId="6BE11A34" w14:textId="77777777" w:rsidR="00776D6D" w:rsidRDefault="00776D6D">
            <w:pPr>
              <w:pStyle w:val="TableText"/>
              <w:keepLines w:val="0"/>
            </w:pPr>
          </w:p>
        </w:tc>
        <w:tc>
          <w:tcPr>
            <w:tcW w:w="1876" w:type="dxa"/>
            <w:gridSpan w:val="3"/>
          </w:tcPr>
          <w:p w14:paraId="35B73CA5" w14:textId="1B686A28" w:rsidR="00776D6D" w:rsidRDefault="00776D6D">
            <w:pPr>
              <w:pStyle w:val="TableInnerSideHeading"/>
            </w:pPr>
            <w:r>
              <w:rPr>
                <w:rFonts w:hint="cs"/>
                <w:rtl/>
              </w:rPr>
              <w:t>"העמדת אמצעים לרשות יושב ראש האופוזיציה</w:t>
            </w:r>
          </w:p>
        </w:tc>
        <w:tc>
          <w:tcPr>
            <w:tcW w:w="621" w:type="dxa"/>
          </w:tcPr>
          <w:p w14:paraId="519E543E" w14:textId="0FBD41A6" w:rsidR="00776D6D" w:rsidRDefault="00776D6D">
            <w:pPr>
              <w:pStyle w:val="TableText"/>
            </w:pPr>
            <w:r>
              <w:rPr>
                <w:rFonts w:hint="cs"/>
                <w:rtl/>
              </w:rPr>
              <w:t>125ד.</w:t>
            </w:r>
          </w:p>
        </w:tc>
        <w:tc>
          <w:tcPr>
            <w:tcW w:w="4642" w:type="dxa"/>
          </w:tcPr>
          <w:p w14:paraId="4212A13F" w14:textId="6ABE6B81" w:rsidR="00776D6D" w:rsidRDefault="00776D6D" w:rsidP="00F77AD9">
            <w:pPr>
              <w:pStyle w:val="TableBlock"/>
            </w:pPr>
            <w:r>
              <w:rPr>
                <w:rFonts w:hint="cs"/>
                <w:rtl/>
              </w:rPr>
              <w:t xml:space="preserve">העירייה תעמיד לרשות יושב ראש האופוזיציה </w:t>
            </w:r>
            <w:r w:rsidR="00FC77C5">
              <w:rPr>
                <w:rFonts w:hint="cs"/>
                <w:rtl/>
              </w:rPr>
              <w:t xml:space="preserve">משרד </w:t>
            </w:r>
            <w:r>
              <w:rPr>
                <w:rFonts w:hint="cs"/>
                <w:rtl/>
              </w:rPr>
              <w:t xml:space="preserve">לקבלת קהל, </w:t>
            </w:r>
            <w:r w:rsidR="00CA509B">
              <w:rPr>
                <w:rFonts w:hint="cs"/>
                <w:rtl/>
              </w:rPr>
              <w:t xml:space="preserve">וכן </w:t>
            </w:r>
            <w:r>
              <w:rPr>
                <w:rFonts w:hint="cs"/>
                <w:rtl/>
              </w:rPr>
              <w:t xml:space="preserve">תקצה </w:t>
            </w:r>
            <w:r w:rsidR="004F0FE8">
              <w:rPr>
                <w:rFonts w:hint="cs"/>
                <w:rtl/>
              </w:rPr>
              <w:t>מכשיר טלפון, מכשיר פקסימיליה ומחשב</w:t>
            </w:r>
            <w:r w:rsidR="00910380">
              <w:rPr>
                <w:rFonts w:hint="cs"/>
                <w:rtl/>
              </w:rPr>
              <w:t>.</w:t>
            </w:r>
            <w:r>
              <w:rPr>
                <w:rFonts w:hint="cs"/>
                <w:rtl/>
              </w:rPr>
              <w:t>"</w:t>
            </w:r>
            <w:r w:rsidR="00BF36CC">
              <w:rPr>
                <w:rFonts w:hint="cs"/>
                <w:rtl/>
              </w:rPr>
              <w:t>;</w:t>
            </w:r>
            <w:r>
              <w:rPr>
                <w:rFonts w:hint="cs"/>
                <w:rtl/>
              </w:rPr>
              <w:t xml:space="preserve"> </w:t>
            </w:r>
          </w:p>
        </w:tc>
      </w:tr>
      <w:tr w:rsidR="00B42A30" w14:paraId="7EAA96E1" w14:textId="77777777" w:rsidTr="00F77AD9">
        <w:trPr>
          <w:gridAfter w:val="1"/>
          <w:wAfter w:w="7" w:type="dxa"/>
          <w:cantSplit/>
        </w:trPr>
        <w:tc>
          <w:tcPr>
            <w:tcW w:w="1870" w:type="dxa"/>
          </w:tcPr>
          <w:p w14:paraId="0F37479A" w14:textId="6EB33FF2" w:rsidR="0046736C" w:rsidRDefault="0046736C">
            <w:pPr>
              <w:pStyle w:val="TableSideHeading"/>
            </w:pPr>
          </w:p>
        </w:tc>
        <w:tc>
          <w:tcPr>
            <w:tcW w:w="624" w:type="dxa"/>
          </w:tcPr>
          <w:p w14:paraId="56C2A4C7" w14:textId="5C940DF6" w:rsidR="0046736C" w:rsidRDefault="0046736C">
            <w:pPr>
              <w:pStyle w:val="TableText"/>
            </w:pPr>
          </w:p>
        </w:tc>
        <w:tc>
          <w:tcPr>
            <w:tcW w:w="7139" w:type="dxa"/>
            <w:gridSpan w:val="5"/>
          </w:tcPr>
          <w:p w14:paraId="04384B3A" w14:textId="1D90BC52" w:rsidR="0046736C" w:rsidRPr="00C34DE2" w:rsidRDefault="000C4A70" w:rsidP="00BF36CC">
            <w:pPr>
              <w:pStyle w:val="TableBlock"/>
            </w:pPr>
            <w:r>
              <w:rPr>
                <w:rFonts w:hint="cs"/>
                <w:rtl/>
              </w:rPr>
              <w:t>(3)</w:t>
            </w:r>
            <w:r>
              <w:rPr>
                <w:rtl/>
              </w:rPr>
              <w:tab/>
            </w:r>
            <w:r w:rsidR="00693C52">
              <w:rPr>
                <w:rFonts w:hint="cs"/>
                <w:rtl/>
              </w:rPr>
              <w:t>בסעיף 140א</w:t>
            </w:r>
            <w:r w:rsidR="00BF36CC">
              <w:rPr>
                <w:rFonts w:hint="cs"/>
                <w:rtl/>
              </w:rPr>
              <w:t xml:space="preserve"> </w:t>
            </w:r>
            <w:r w:rsidR="00693C52">
              <w:rPr>
                <w:rtl/>
              </w:rPr>
              <w:t>–</w:t>
            </w:r>
            <w:r w:rsidR="00693C52">
              <w:rPr>
                <w:rFonts w:hint="cs"/>
                <w:rtl/>
              </w:rPr>
              <w:t xml:space="preserve"> </w:t>
            </w:r>
            <w:r w:rsidR="004D170C">
              <w:rPr>
                <w:rFonts w:hint="cs"/>
                <w:rtl/>
              </w:rPr>
              <w:t xml:space="preserve"> </w:t>
            </w:r>
          </w:p>
        </w:tc>
      </w:tr>
      <w:tr w:rsidR="00B42A30" w14:paraId="5F6A22AB" w14:textId="77777777" w:rsidTr="00F77AD9">
        <w:trPr>
          <w:gridAfter w:val="1"/>
          <w:wAfter w:w="7" w:type="dxa"/>
          <w:cantSplit/>
        </w:trPr>
        <w:tc>
          <w:tcPr>
            <w:tcW w:w="1870" w:type="dxa"/>
          </w:tcPr>
          <w:p w14:paraId="76B98286" w14:textId="77777777" w:rsidR="001576C3" w:rsidRDefault="001576C3">
            <w:pPr>
              <w:pStyle w:val="TableSideHeading"/>
            </w:pPr>
          </w:p>
        </w:tc>
        <w:tc>
          <w:tcPr>
            <w:tcW w:w="624" w:type="dxa"/>
          </w:tcPr>
          <w:p w14:paraId="45D13841" w14:textId="77777777" w:rsidR="001576C3" w:rsidRDefault="001576C3">
            <w:pPr>
              <w:pStyle w:val="TableText"/>
            </w:pPr>
          </w:p>
        </w:tc>
        <w:tc>
          <w:tcPr>
            <w:tcW w:w="624" w:type="dxa"/>
          </w:tcPr>
          <w:p w14:paraId="0667ECE9" w14:textId="77777777" w:rsidR="001576C3" w:rsidRDefault="001576C3">
            <w:pPr>
              <w:pStyle w:val="TableText"/>
            </w:pPr>
          </w:p>
        </w:tc>
        <w:tc>
          <w:tcPr>
            <w:tcW w:w="6515" w:type="dxa"/>
            <w:gridSpan w:val="4"/>
          </w:tcPr>
          <w:p w14:paraId="5BF84B35" w14:textId="0EB32558" w:rsidR="001576C3" w:rsidRDefault="001576C3" w:rsidP="00BF36CC">
            <w:pPr>
              <w:pStyle w:val="TableBlock"/>
            </w:pPr>
            <w:r w:rsidRPr="001576C3">
              <w:rPr>
                <w:rtl/>
              </w:rPr>
              <w:t>(א</w:t>
            </w:r>
            <w:r>
              <w:rPr>
                <w:rtl/>
              </w:rPr>
              <w:t xml:space="preserve">) </w:t>
            </w:r>
            <w:r>
              <w:rPr>
                <w:rtl/>
              </w:rPr>
              <w:tab/>
            </w:r>
            <w:r>
              <w:rPr>
                <w:rFonts w:hint="cs"/>
                <w:rtl/>
              </w:rPr>
              <w:t>בסעיף קטן (א)</w:t>
            </w:r>
            <w:r w:rsidR="00BF36CC">
              <w:rPr>
                <w:rFonts w:hint="cs"/>
                <w:rtl/>
              </w:rPr>
              <w:t>,</w:t>
            </w:r>
            <w:r>
              <w:rPr>
                <w:rFonts w:hint="cs"/>
                <w:rtl/>
              </w:rPr>
              <w:t xml:space="preserve"> </w:t>
            </w:r>
            <w:r w:rsidR="00BF36CC">
              <w:rPr>
                <w:rFonts w:hint="cs"/>
                <w:rtl/>
              </w:rPr>
              <w:t>אחרי "פנקסי העירייה ומסמכיה" יבוא "וכן פנקסי ומסמכי תאגיד עירוני"</w:t>
            </w:r>
            <w:r>
              <w:rPr>
                <w:rFonts w:hint="cs"/>
                <w:rtl/>
              </w:rPr>
              <w:t xml:space="preserve"> </w:t>
            </w:r>
            <w:r w:rsidR="00BF36CC">
              <w:rPr>
                <w:rFonts w:hint="cs"/>
                <w:rtl/>
              </w:rPr>
              <w:t xml:space="preserve">והסיפה החל במילים "אך לא יוצא" </w:t>
            </w:r>
            <w:r w:rsidR="00BF36CC">
              <w:rPr>
                <w:rtl/>
              </w:rPr>
              <w:t>–</w:t>
            </w:r>
            <w:r w:rsidR="00BF36CC">
              <w:rPr>
                <w:rFonts w:hint="cs"/>
                <w:rtl/>
              </w:rPr>
              <w:t xml:space="preserve"> תימחק;</w:t>
            </w:r>
          </w:p>
        </w:tc>
      </w:tr>
      <w:tr w:rsidR="00B42A30" w14:paraId="3DC8DF2A" w14:textId="77777777" w:rsidTr="00F77AD9">
        <w:trPr>
          <w:gridAfter w:val="1"/>
          <w:wAfter w:w="7" w:type="dxa"/>
          <w:cantSplit/>
        </w:trPr>
        <w:tc>
          <w:tcPr>
            <w:tcW w:w="1870" w:type="dxa"/>
          </w:tcPr>
          <w:p w14:paraId="214B0A91" w14:textId="77777777" w:rsidR="008A34BD" w:rsidRDefault="008A34BD">
            <w:pPr>
              <w:pStyle w:val="TableSideHeading"/>
            </w:pPr>
          </w:p>
        </w:tc>
        <w:tc>
          <w:tcPr>
            <w:tcW w:w="624" w:type="dxa"/>
          </w:tcPr>
          <w:p w14:paraId="56E125E1" w14:textId="77777777" w:rsidR="008A34BD" w:rsidRDefault="008A34BD">
            <w:pPr>
              <w:pStyle w:val="TableText"/>
            </w:pPr>
          </w:p>
        </w:tc>
        <w:tc>
          <w:tcPr>
            <w:tcW w:w="624" w:type="dxa"/>
          </w:tcPr>
          <w:p w14:paraId="16771457" w14:textId="77777777" w:rsidR="008A34BD" w:rsidRDefault="008A34BD">
            <w:pPr>
              <w:pStyle w:val="TableText"/>
            </w:pPr>
          </w:p>
        </w:tc>
        <w:tc>
          <w:tcPr>
            <w:tcW w:w="6515" w:type="dxa"/>
            <w:gridSpan w:val="4"/>
          </w:tcPr>
          <w:p w14:paraId="7153FAC9" w14:textId="1A106772" w:rsidR="008A34BD" w:rsidRDefault="008A34BD" w:rsidP="00F77AD9">
            <w:pPr>
              <w:pStyle w:val="TableBlock"/>
            </w:pPr>
            <w:r>
              <w:rPr>
                <w:rFonts w:hint="cs"/>
                <w:rtl/>
              </w:rPr>
              <w:t>(ב)</w:t>
            </w:r>
            <w:r>
              <w:rPr>
                <w:rtl/>
              </w:rPr>
              <w:tab/>
            </w:r>
            <w:r>
              <w:rPr>
                <w:rFonts w:hint="cs"/>
                <w:rtl/>
              </w:rPr>
              <w:t>בסעיף קטן (א1)</w:t>
            </w:r>
            <w:r w:rsidR="00BF36CC">
              <w:rPr>
                <w:rFonts w:hint="cs"/>
                <w:rtl/>
              </w:rPr>
              <w:t>,</w:t>
            </w:r>
            <w:r>
              <w:rPr>
                <w:rFonts w:hint="cs"/>
                <w:rtl/>
              </w:rPr>
              <w:t xml:space="preserve"> אחרי "פנקסי העירייה או מסמכיה" יבוא "או </w:t>
            </w:r>
            <w:r w:rsidR="008C5911">
              <w:rPr>
                <w:rFonts w:hint="cs"/>
                <w:rtl/>
              </w:rPr>
              <w:t>פנקסי התאגיד העירוני או מסמכיו" ובסופו יבוא "</w:t>
            </w:r>
            <w:r w:rsidR="00146AEB" w:rsidRPr="00146AEB">
              <w:rPr>
                <w:rtl/>
              </w:rPr>
              <w:t>לא נענה ראש הרשות לצו כאמור בתוך 21 ימים ממועד הוצאת הצו, ימנה הממונה אדם מתאים למילוי החובה כאמור בסעיף 141."</w:t>
            </w:r>
            <w:r w:rsidR="00BF36CC">
              <w:rPr>
                <w:rFonts w:hint="cs"/>
                <w:rtl/>
              </w:rPr>
              <w:t>;</w:t>
            </w:r>
          </w:p>
        </w:tc>
      </w:tr>
      <w:tr w:rsidR="00B42A30" w14:paraId="74CB66E7" w14:textId="77777777" w:rsidTr="00F77AD9">
        <w:trPr>
          <w:gridAfter w:val="1"/>
          <w:wAfter w:w="7" w:type="dxa"/>
          <w:cantSplit/>
        </w:trPr>
        <w:tc>
          <w:tcPr>
            <w:tcW w:w="1870" w:type="dxa"/>
          </w:tcPr>
          <w:p w14:paraId="38C46468" w14:textId="77777777" w:rsidR="008A34BD" w:rsidRDefault="008A34BD">
            <w:pPr>
              <w:pStyle w:val="TableSideHeading"/>
            </w:pPr>
          </w:p>
        </w:tc>
        <w:tc>
          <w:tcPr>
            <w:tcW w:w="624" w:type="dxa"/>
          </w:tcPr>
          <w:p w14:paraId="614CBE26" w14:textId="77777777" w:rsidR="008A34BD" w:rsidRDefault="008A34BD">
            <w:pPr>
              <w:pStyle w:val="TableText"/>
            </w:pPr>
          </w:p>
        </w:tc>
        <w:tc>
          <w:tcPr>
            <w:tcW w:w="624" w:type="dxa"/>
          </w:tcPr>
          <w:p w14:paraId="5827A5E0" w14:textId="77777777" w:rsidR="008A34BD" w:rsidRDefault="008A34BD">
            <w:pPr>
              <w:pStyle w:val="TableText"/>
            </w:pPr>
          </w:p>
        </w:tc>
        <w:tc>
          <w:tcPr>
            <w:tcW w:w="6515" w:type="dxa"/>
            <w:gridSpan w:val="4"/>
          </w:tcPr>
          <w:p w14:paraId="041355B3" w14:textId="136BA5DF" w:rsidR="008A34BD" w:rsidRDefault="008A34BD" w:rsidP="00F77AD9">
            <w:pPr>
              <w:pStyle w:val="TableBlock"/>
            </w:pPr>
            <w:r>
              <w:rPr>
                <w:rFonts w:hint="cs"/>
                <w:rtl/>
              </w:rPr>
              <w:t>(ג)</w:t>
            </w:r>
            <w:r>
              <w:rPr>
                <w:rtl/>
              </w:rPr>
              <w:tab/>
            </w:r>
            <w:r w:rsidR="00D20FA3">
              <w:rPr>
                <w:rFonts w:hint="cs"/>
                <w:rtl/>
              </w:rPr>
              <w:t>בסעיף קטן (ב), אחרי "או בוועדה מוועדותיה" יבוא "או לדיון בגוף המנהל של התאגיד העירוני";</w:t>
            </w:r>
          </w:p>
        </w:tc>
      </w:tr>
      <w:tr w:rsidR="00B42A30" w14:paraId="33195FE2" w14:textId="77777777" w:rsidTr="00F77AD9">
        <w:trPr>
          <w:gridAfter w:val="1"/>
          <w:wAfter w:w="7" w:type="dxa"/>
          <w:cantSplit/>
        </w:trPr>
        <w:tc>
          <w:tcPr>
            <w:tcW w:w="1870" w:type="dxa"/>
          </w:tcPr>
          <w:p w14:paraId="4CEDE2C1" w14:textId="77777777" w:rsidR="008A34BD" w:rsidRDefault="008A34BD">
            <w:pPr>
              <w:pStyle w:val="TableSideHeading"/>
            </w:pPr>
          </w:p>
        </w:tc>
        <w:tc>
          <w:tcPr>
            <w:tcW w:w="624" w:type="dxa"/>
          </w:tcPr>
          <w:p w14:paraId="5D20F35B" w14:textId="77777777" w:rsidR="008A34BD" w:rsidRDefault="008A34BD">
            <w:pPr>
              <w:pStyle w:val="TableText"/>
            </w:pPr>
          </w:p>
        </w:tc>
        <w:tc>
          <w:tcPr>
            <w:tcW w:w="624" w:type="dxa"/>
          </w:tcPr>
          <w:p w14:paraId="5424E3D1" w14:textId="77777777" w:rsidR="008A34BD" w:rsidRDefault="008A34BD">
            <w:pPr>
              <w:pStyle w:val="TableText"/>
            </w:pPr>
          </w:p>
        </w:tc>
        <w:tc>
          <w:tcPr>
            <w:tcW w:w="6515" w:type="dxa"/>
            <w:gridSpan w:val="4"/>
          </w:tcPr>
          <w:p w14:paraId="2644A923" w14:textId="28E331FE" w:rsidR="008A34BD" w:rsidRDefault="00D20FA3" w:rsidP="00F77AD9">
            <w:pPr>
              <w:pStyle w:val="TableBlock"/>
            </w:pPr>
            <w:r>
              <w:rPr>
                <w:rFonts w:hint="cs"/>
                <w:rtl/>
              </w:rPr>
              <w:t>(ד)</w:t>
            </w:r>
            <w:r>
              <w:rPr>
                <w:rtl/>
              </w:rPr>
              <w:tab/>
            </w:r>
            <w:r>
              <w:rPr>
                <w:rFonts w:hint="cs"/>
                <w:rtl/>
              </w:rPr>
              <w:t>בסעיף קטן (ג), אחרי "פנקסי העיריה ומסמכיה" יבוא "וכן פנקסי תאגיד עירוני או מסמכיו";</w:t>
            </w:r>
          </w:p>
        </w:tc>
      </w:tr>
      <w:tr w:rsidR="00B42A30" w14:paraId="2DB18E2E" w14:textId="77777777" w:rsidTr="00F77AD9">
        <w:trPr>
          <w:gridAfter w:val="1"/>
          <w:wAfter w:w="7" w:type="dxa"/>
          <w:cantSplit/>
        </w:trPr>
        <w:tc>
          <w:tcPr>
            <w:tcW w:w="1870" w:type="dxa"/>
          </w:tcPr>
          <w:p w14:paraId="1250DFCA" w14:textId="77777777" w:rsidR="006A2A85" w:rsidRDefault="006A2A85">
            <w:pPr>
              <w:pStyle w:val="TableSideHeading"/>
            </w:pPr>
          </w:p>
        </w:tc>
        <w:tc>
          <w:tcPr>
            <w:tcW w:w="624" w:type="dxa"/>
          </w:tcPr>
          <w:p w14:paraId="43A5F8A3" w14:textId="77777777" w:rsidR="006A2A85" w:rsidRDefault="006A2A85">
            <w:pPr>
              <w:pStyle w:val="TableText"/>
            </w:pPr>
          </w:p>
        </w:tc>
        <w:tc>
          <w:tcPr>
            <w:tcW w:w="624" w:type="dxa"/>
          </w:tcPr>
          <w:p w14:paraId="51405E27" w14:textId="77777777" w:rsidR="006A2A85" w:rsidRDefault="006A2A85">
            <w:pPr>
              <w:pStyle w:val="TableText"/>
            </w:pPr>
          </w:p>
        </w:tc>
        <w:tc>
          <w:tcPr>
            <w:tcW w:w="6515" w:type="dxa"/>
            <w:gridSpan w:val="4"/>
          </w:tcPr>
          <w:p w14:paraId="2D68EF50" w14:textId="047A28F0" w:rsidR="00D74E02" w:rsidRDefault="006A2A85" w:rsidP="00F77AD9">
            <w:pPr>
              <w:pStyle w:val="TableBlock"/>
              <w:numPr>
                <w:ilvl w:val="0"/>
                <w:numId w:val="20"/>
              </w:numPr>
              <w:tabs>
                <w:tab w:val="left" w:pos="624"/>
              </w:tabs>
              <w:rPr>
                <w:rtl/>
              </w:rPr>
            </w:pPr>
            <w:r>
              <w:rPr>
                <w:rFonts w:hint="cs"/>
                <w:rtl/>
              </w:rPr>
              <w:t xml:space="preserve">אחרי סעיף קטן (ד) יבוא </w:t>
            </w:r>
            <w:r>
              <w:rPr>
                <w:rtl/>
              </w:rPr>
              <w:t>–</w:t>
            </w:r>
            <w:r>
              <w:rPr>
                <w:rFonts w:hint="cs"/>
                <w:rtl/>
              </w:rPr>
              <w:t xml:space="preserve"> </w:t>
            </w:r>
          </w:p>
        </w:tc>
      </w:tr>
      <w:tr w:rsidR="008A1A6A" w14:paraId="781F55CE" w14:textId="77777777" w:rsidTr="00F77AD9">
        <w:trPr>
          <w:cantSplit/>
          <w:trHeight w:val="60"/>
        </w:trPr>
        <w:tc>
          <w:tcPr>
            <w:tcW w:w="1870" w:type="dxa"/>
          </w:tcPr>
          <w:p w14:paraId="206C19B4" w14:textId="77777777" w:rsidR="008A1A6A" w:rsidRDefault="008A1A6A">
            <w:pPr>
              <w:pStyle w:val="TableSideHeading"/>
            </w:pPr>
          </w:p>
        </w:tc>
        <w:tc>
          <w:tcPr>
            <w:tcW w:w="624" w:type="dxa"/>
          </w:tcPr>
          <w:p w14:paraId="6E22D352" w14:textId="77777777" w:rsidR="008A1A6A" w:rsidRDefault="008A1A6A">
            <w:pPr>
              <w:pStyle w:val="TableText"/>
            </w:pPr>
          </w:p>
        </w:tc>
        <w:tc>
          <w:tcPr>
            <w:tcW w:w="624" w:type="dxa"/>
          </w:tcPr>
          <w:p w14:paraId="4911F530" w14:textId="77777777" w:rsidR="008A1A6A" w:rsidRDefault="008A1A6A">
            <w:pPr>
              <w:pStyle w:val="TableText"/>
            </w:pPr>
          </w:p>
        </w:tc>
        <w:tc>
          <w:tcPr>
            <w:tcW w:w="624" w:type="dxa"/>
          </w:tcPr>
          <w:p w14:paraId="50F80AC7" w14:textId="77777777" w:rsidR="008A1A6A" w:rsidRDefault="008A1A6A">
            <w:pPr>
              <w:pStyle w:val="TableText"/>
            </w:pPr>
          </w:p>
        </w:tc>
        <w:tc>
          <w:tcPr>
            <w:tcW w:w="5898" w:type="dxa"/>
            <w:gridSpan w:val="4"/>
          </w:tcPr>
          <w:p w14:paraId="56C2540D" w14:textId="450D42A5" w:rsidR="008A1A6A" w:rsidRDefault="008A1A6A">
            <w:pPr>
              <w:pStyle w:val="TableBlock"/>
            </w:pPr>
            <w:r>
              <w:rPr>
                <w:rFonts w:hint="cs"/>
                <w:rtl/>
              </w:rPr>
              <w:t>"(ה)</w:t>
            </w:r>
            <w:r>
              <w:rPr>
                <w:rtl/>
              </w:rPr>
              <w:tab/>
            </w:r>
            <w:r w:rsidRPr="008204F0">
              <w:rPr>
                <w:rtl/>
              </w:rPr>
              <w:t xml:space="preserve">ראש העירייה יסמיך את הממונה על חופש המידע בתחום </w:t>
            </w:r>
            <w:r>
              <w:rPr>
                <w:rFonts w:hint="cs"/>
                <w:rtl/>
              </w:rPr>
              <w:t>העירייה</w:t>
            </w:r>
            <w:r w:rsidRPr="008204F0">
              <w:rPr>
                <w:rtl/>
              </w:rPr>
              <w:t xml:space="preserve"> להעמיד לרשות חברי המועצה את פנקסי העירייה ומסמכיה בהתאם לחוק זה."</w:t>
            </w:r>
          </w:p>
        </w:tc>
      </w:tr>
      <w:tr w:rsidR="008A1A6A" w14:paraId="7E3049E2" w14:textId="77777777" w:rsidTr="00F77AD9">
        <w:trPr>
          <w:cantSplit/>
          <w:trHeight w:val="60"/>
        </w:trPr>
        <w:tc>
          <w:tcPr>
            <w:tcW w:w="1870" w:type="dxa"/>
          </w:tcPr>
          <w:p w14:paraId="587E5C54" w14:textId="77777777" w:rsidR="008A1A6A" w:rsidRDefault="008A1A6A">
            <w:pPr>
              <w:pStyle w:val="TableSideHeading"/>
            </w:pPr>
          </w:p>
        </w:tc>
        <w:tc>
          <w:tcPr>
            <w:tcW w:w="624" w:type="dxa"/>
          </w:tcPr>
          <w:p w14:paraId="02A8EFE1" w14:textId="77777777" w:rsidR="008A1A6A" w:rsidRDefault="008A1A6A">
            <w:pPr>
              <w:pStyle w:val="TableText"/>
            </w:pPr>
          </w:p>
        </w:tc>
        <w:tc>
          <w:tcPr>
            <w:tcW w:w="624" w:type="dxa"/>
          </w:tcPr>
          <w:p w14:paraId="26072F01" w14:textId="77777777" w:rsidR="008A1A6A" w:rsidRDefault="008A1A6A">
            <w:pPr>
              <w:pStyle w:val="TableText"/>
            </w:pPr>
          </w:p>
        </w:tc>
        <w:tc>
          <w:tcPr>
            <w:tcW w:w="624" w:type="dxa"/>
          </w:tcPr>
          <w:p w14:paraId="7CA30FE8" w14:textId="77777777" w:rsidR="008A1A6A" w:rsidRDefault="008A1A6A">
            <w:pPr>
              <w:pStyle w:val="TableText"/>
            </w:pPr>
          </w:p>
        </w:tc>
        <w:tc>
          <w:tcPr>
            <w:tcW w:w="5898" w:type="dxa"/>
            <w:gridSpan w:val="4"/>
          </w:tcPr>
          <w:p w14:paraId="16A62042" w14:textId="025D340B" w:rsidR="008A1A6A" w:rsidRDefault="008A1A6A">
            <w:pPr>
              <w:pStyle w:val="TableBlock"/>
              <w:rPr>
                <w:rtl/>
              </w:rPr>
            </w:pPr>
            <w:r>
              <w:rPr>
                <w:rFonts w:hint="cs"/>
                <w:rtl/>
              </w:rPr>
              <w:t>(ו)</w:t>
            </w:r>
            <w:r>
              <w:rPr>
                <w:rtl/>
              </w:rPr>
              <w:tab/>
            </w:r>
            <w:r w:rsidRPr="008204F0">
              <w:rPr>
                <w:rtl/>
              </w:rPr>
              <w:t>בסעיף זה, "תאגיד</w:t>
            </w:r>
            <w:r>
              <w:rPr>
                <w:rtl/>
              </w:rPr>
              <w:t xml:space="preserve"> עירוני" – כמשמעותו בסעיף 249א</w:t>
            </w:r>
            <w:r>
              <w:rPr>
                <w:rFonts w:hint="cs"/>
                <w:rtl/>
              </w:rPr>
              <w:t>."</w:t>
            </w:r>
            <w:r w:rsidR="00BF36CC">
              <w:rPr>
                <w:rFonts w:hint="cs"/>
                <w:rtl/>
              </w:rPr>
              <w:t>;</w:t>
            </w:r>
          </w:p>
        </w:tc>
      </w:tr>
      <w:tr w:rsidR="00B42A30" w14:paraId="49E72A8F" w14:textId="77777777" w:rsidTr="00F77AD9">
        <w:trPr>
          <w:gridAfter w:val="1"/>
          <w:wAfter w:w="7" w:type="dxa"/>
          <w:cantSplit/>
        </w:trPr>
        <w:tc>
          <w:tcPr>
            <w:tcW w:w="1870" w:type="dxa"/>
          </w:tcPr>
          <w:p w14:paraId="5BCCC0BE" w14:textId="76F3F7B0" w:rsidR="003C3EDE" w:rsidRDefault="003C3EDE">
            <w:pPr>
              <w:pStyle w:val="TableSideHeading"/>
            </w:pPr>
          </w:p>
        </w:tc>
        <w:tc>
          <w:tcPr>
            <w:tcW w:w="624" w:type="dxa"/>
          </w:tcPr>
          <w:p w14:paraId="590B27FE" w14:textId="707B6656" w:rsidR="003C3EDE" w:rsidRDefault="003C3EDE">
            <w:pPr>
              <w:pStyle w:val="TableText"/>
            </w:pPr>
          </w:p>
        </w:tc>
        <w:tc>
          <w:tcPr>
            <w:tcW w:w="7139" w:type="dxa"/>
            <w:gridSpan w:val="5"/>
          </w:tcPr>
          <w:p w14:paraId="1C0A157D" w14:textId="647E4AE3" w:rsidR="003C3EDE" w:rsidRPr="00C34DE2" w:rsidRDefault="00B1760A" w:rsidP="00BF36CC">
            <w:pPr>
              <w:pStyle w:val="TableBlock"/>
            </w:pPr>
            <w:r>
              <w:rPr>
                <w:rFonts w:hint="cs"/>
                <w:rtl/>
              </w:rPr>
              <w:t>(4)</w:t>
            </w:r>
            <w:r>
              <w:rPr>
                <w:rtl/>
              </w:rPr>
              <w:tab/>
            </w:r>
            <w:r w:rsidR="00071944">
              <w:rPr>
                <w:rFonts w:hint="cs"/>
                <w:rtl/>
              </w:rPr>
              <w:t>בסעיף 149ג</w:t>
            </w:r>
            <w:r w:rsidR="00BF36CC">
              <w:rPr>
                <w:rFonts w:hint="cs"/>
                <w:rtl/>
              </w:rPr>
              <w:t>(ג),</w:t>
            </w:r>
            <w:r w:rsidR="00071944">
              <w:rPr>
                <w:rFonts w:hint="cs"/>
                <w:rtl/>
              </w:rPr>
              <w:t xml:space="preserve"> במקום </w:t>
            </w:r>
            <w:r w:rsidR="00BF36CC">
              <w:rPr>
                <w:rFonts w:hint="cs"/>
                <w:rtl/>
              </w:rPr>
              <w:t>פסקה (1) יבוא:</w:t>
            </w:r>
          </w:p>
        </w:tc>
      </w:tr>
      <w:tr w:rsidR="00B42A30" w14:paraId="7BFF0736" w14:textId="77777777" w:rsidTr="00F77AD9">
        <w:trPr>
          <w:gridAfter w:val="1"/>
          <w:wAfter w:w="7" w:type="dxa"/>
          <w:cantSplit/>
        </w:trPr>
        <w:tc>
          <w:tcPr>
            <w:tcW w:w="1870" w:type="dxa"/>
          </w:tcPr>
          <w:p w14:paraId="60C3BD92" w14:textId="77777777" w:rsidR="002815A0" w:rsidRDefault="002815A0">
            <w:pPr>
              <w:pStyle w:val="TableSideHeading"/>
            </w:pPr>
          </w:p>
        </w:tc>
        <w:tc>
          <w:tcPr>
            <w:tcW w:w="624" w:type="dxa"/>
          </w:tcPr>
          <w:p w14:paraId="504C69DF" w14:textId="77777777" w:rsidR="002815A0" w:rsidRDefault="002815A0">
            <w:pPr>
              <w:pStyle w:val="TableText"/>
            </w:pPr>
          </w:p>
        </w:tc>
        <w:tc>
          <w:tcPr>
            <w:tcW w:w="624" w:type="dxa"/>
          </w:tcPr>
          <w:p w14:paraId="1E867611" w14:textId="77777777" w:rsidR="002815A0" w:rsidRDefault="002815A0">
            <w:pPr>
              <w:pStyle w:val="TableText"/>
            </w:pPr>
          </w:p>
        </w:tc>
        <w:tc>
          <w:tcPr>
            <w:tcW w:w="6515" w:type="dxa"/>
            <w:gridSpan w:val="4"/>
          </w:tcPr>
          <w:p w14:paraId="276C2CCA" w14:textId="1922995B" w:rsidR="002815A0" w:rsidRDefault="002815A0" w:rsidP="00BF36CC">
            <w:pPr>
              <w:pStyle w:val="TableBlock"/>
            </w:pPr>
            <w:r>
              <w:rPr>
                <w:rFonts w:hint="cs"/>
                <w:rtl/>
              </w:rPr>
              <w:t>"(1)</w:t>
            </w:r>
            <w:r>
              <w:rPr>
                <w:rtl/>
              </w:rPr>
              <w:tab/>
            </w:r>
            <w:r>
              <w:rPr>
                <w:rFonts w:hint="cs"/>
                <w:rtl/>
              </w:rPr>
              <w:t xml:space="preserve">יושב ראש הוועדה לענייני ביקורת יהיה, בכפוף להוראות פסקה (2), יושב ראש האופוזיציה ולא יכהן כדירקטור בהנהלת גוף עירוני מבוקר; הכריז יושב ראש האופוזיציה כי הוא מנוע מלשמש כיושב ראש ועדת הביקורת, </w:t>
            </w:r>
            <w:r w:rsidR="00BF36CC">
              <w:rPr>
                <w:rFonts w:hint="cs"/>
                <w:rtl/>
              </w:rPr>
              <w:t xml:space="preserve">יהיה </w:t>
            </w:r>
            <w:r>
              <w:rPr>
                <w:rFonts w:hint="cs"/>
                <w:rtl/>
              </w:rPr>
              <w:t>יושב ראש הוועדה, בכפוף להוראות פסקה (2), חבר האופוזיציה אשר מתקיי</w:t>
            </w:r>
            <w:r w:rsidR="00BF36CC">
              <w:rPr>
                <w:rFonts w:hint="cs"/>
                <w:rtl/>
              </w:rPr>
              <w:t>מים</w:t>
            </w:r>
            <w:r>
              <w:rPr>
                <w:rFonts w:hint="cs"/>
                <w:rtl/>
              </w:rPr>
              <w:t xml:space="preserve"> בסיעתו, בין היתר, לפחות כל אלה:</w:t>
            </w:r>
          </w:p>
        </w:tc>
      </w:tr>
      <w:tr w:rsidR="00B42A30" w14:paraId="437B1594" w14:textId="77777777" w:rsidTr="00F77AD9">
        <w:trPr>
          <w:gridAfter w:val="1"/>
          <w:wAfter w:w="7" w:type="dxa"/>
          <w:cantSplit/>
        </w:trPr>
        <w:tc>
          <w:tcPr>
            <w:tcW w:w="1870" w:type="dxa"/>
          </w:tcPr>
          <w:p w14:paraId="60CDF70F" w14:textId="77777777" w:rsidR="00FB67CC" w:rsidRDefault="00FB67CC">
            <w:pPr>
              <w:pStyle w:val="TableSideHeading"/>
            </w:pPr>
          </w:p>
        </w:tc>
        <w:tc>
          <w:tcPr>
            <w:tcW w:w="624" w:type="dxa"/>
          </w:tcPr>
          <w:p w14:paraId="588BF57B" w14:textId="77777777" w:rsidR="00FB67CC" w:rsidRDefault="00FB67CC">
            <w:pPr>
              <w:pStyle w:val="TableText"/>
            </w:pPr>
          </w:p>
        </w:tc>
        <w:tc>
          <w:tcPr>
            <w:tcW w:w="624" w:type="dxa"/>
          </w:tcPr>
          <w:p w14:paraId="0C555344" w14:textId="77777777" w:rsidR="00FB67CC" w:rsidRDefault="00FB67CC">
            <w:pPr>
              <w:pStyle w:val="TableText"/>
            </w:pPr>
          </w:p>
        </w:tc>
        <w:tc>
          <w:tcPr>
            <w:tcW w:w="624" w:type="dxa"/>
          </w:tcPr>
          <w:p w14:paraId="40681A8A" w14:textId="77777777" w:rsidR="00FB67CC" w:rsidRDefault="00FB67CC">
            <w:pPr>
              <w:pStyle w:val="TableText"/>
            </w:pPr>
          </w:p>
        </w:tc>
        <w:tc>
          <w:tcPr>
            <w:tcW w:w="5891" w:type="dxa"/>
            <w:gridSpan w:val="3"/>
          </w:tcPr>
          <w:p w14:paraId="74CEFADE" w14:textId="61836633" w:rsidR="00FB67CC" w:rsidRDefault="007A2EC8" w:rsidP="00F77AD9">
            <w:pPr>
              <w:pStyle w:val="TableBlock"/>
            </w:pPr>
            <w:r w:rsidRPr="007A2EC8">
              <w:rPr>
                <w:rtl/>
              </w:rPr>
              <w:t>(א</w:t>
            </w:r>
            <w:r>
              <w:rPr>
                <w:rtl/>
              </w:rPr>
              <w:t>)</w:t>
            </w:r>
            <w:r>
              <w:rPr>
                <w:rtl/>
              </w:rPr>
              <w:tab/>
            </w:r>
            <w:r>
              <w:rPr>
                <w:rFonts w:hint="cs"/>
                <w:rtl/>
              </w:rPr>
              <w:t>סיעתו שונה מסיעתו של ראש העירייה;</w:t>
            </w:r>
          </w:p>
        </w:tc>
      </w:tr>
      <w:tr w:rsidR="00B42A30" w14:paraId="0D11A156" w14:textId="77777777" w:rsidTr="00F77AD9">
        <w:trPr>
          <w:gridAfter w:val="1"/>
          <w:wAfter w:w="7" w:type="dxa"/>
          <w:cantSplit/>
        </w:trPr>
        <w:tc>
          <w:tcPr>
            <w:tcW w:w="1870" w:type="dxa"/>
          </w:tcPr>
          <w:p w14:paraId="7C122036" w14:textId="77777777" w:rsidR="007A2EC8" w:rsidRDefault="007A2EC8">
            <w:pPr>
              <w:pStyle w:val="TableSideHeading"/>
            </w:pPr>
          </w:p>
        </w:tc>
        <w:tc>
          <w:tcPr>
            <w:tcW w:w="624" w:type="dxa"/>
          </w:tcPr>
          <w:p w14:paraId="5E6AA769" w14:textId="77777777" w:rsidR="007A2EC8" w:rsidRDefault="007A2EC8">
            <w:pPr>
              <w:pStyle w:val="TableText"/>
            </w:pPr>
          </w:p>
        </w:tc>
        <w:tc>
          <w:tcPr>
            <w:tcW w:w="624" w:type="dxa"/>
          </w:tcPr>
          <w:p w14:paraId="3CA54149" w14:textId="77777777" w:rsidR="007A2EC8" w:rsidRDefault="007A2EC8">
            <w:pPr>
              <w:pStyle w:val="TableText"/>
            </w:pPr>
          </w:p>
        </w:tc>
        <w:tc>
          <w:tcPr>
            <w:tcW w:w="624" w:type="dxa"/>
          </w:tcPr>
          <w:p w14:paraId="2AC654B4" w14:textId="77777777" w:rsidR="007A2EC8" w:rsidRDefault="007A2EC8">
            <w:pPr>
              <w:pStyle w:val="TableText"/>
            </w:pPr>
          </w:p>
        </w:tc>
        <w:tc>
          <w:tcPr>
            <w:tcW w:w="5891" w:type="dxa"/>
            <w:gridSpan w:val="3"/>
          </w:tcPr>
          <w:p w14:paraId="15AC464C" w14:textId="3E48B4BA" w:rsidR="007A2EC8" w:rsidRPr="007A2EC8" w:rsidRDefault="007A2EC8" w:rsidP="00F77AD9">
            <w:pPr>
              <w:pStyle w:val="TableBlock"/>
              <w:rPr>
                <w:rtl/>
              </w:rPr>
            </w:pPr>
            <w:r>
              <w:rPr>
                <w:rFonts w:hint="cs"/>
                <w:rtl/>
              </w:rPr>
              <w:t>(ב)</w:t>
            </w:r>
            <w:r w:rsidR="00600A1A">
              <w:rPr>
                <w:rtl/>
              </w:rPr>
              <w:tab/>
            </w:r>
            <w:r w:rsidR="00600A1A">
              <w:rPr>
                <w:rFonts w:hint="cs"/>
                <w:rtl/>
              </w:rPr>
              <w:t>לסיעתו אין ייצוג בוועדת ההנהלה;</w:t>
            </w:r>
          </w:p>
        </w:tc>
      </w:tr>
      <w:tr w:rsidR="00B42A30" w14:paraId="346FF185" w14:textId="77777777" w:rsidTr="00F77AD9">
        <w:trPr>
          <w:gridAfter w:val="1"/>
          <w:wAfter w:w="7" w:type="dxa"/>
          <w:cantSplit/>
        </w:trPr>
        <w:tc>
          <w:tcPr>
            <w:tcW w:w="1870" w:type="dxa"/>
          </w:tcPr>
          <w:p w14:paraId="23408208" w14:textId="77777777" w:rsidR="007A2EC8" w:rsidRDefault="007A2EC8">
            <w:pPr>
              <w:pStyle w:val="TableSideHeading"/>
            </w:pPr>
          </w:p>
        </w:tc>
        <w:tc>
          <w:tcPr>
            <w:tcW w:w="624" w:type="dxa"/>
          </w:tcPr>
          <w:p w14:paraId="7CC938F5" w14:textId="77777777" w:rsidR="007A2EC8" w:rsidRDefault="007A2EC8">
            <w:pPr>
              <w:pStyle w:val="TableText"/>
            </w:pPr>
          </w:p>
        </w:tc>
        <w:tc>
          <w:tcPr>
            <w:tcW w:w="624" w:type="dxa"/>
          </w:tcPr>
          <w:p w14:paraId="4E9AF6DB" w14:textId="77777777" w:rsidR="007A2EC8" w:rsidRDefault="007A2EC8">
            <w:pPr>
              <w:pStyle w:val="TableText"/>
            </w:pPr>
          </w:p>
        </w:tc>
        <w:tc>
          <w:tcPr>
            <w:tcW w:w="624" w:type="dxa"/>
          </w:tcPr>
          <w:p w14:paraId="29FD001C" w14:textId="77777777" w:rsidR="007A2EC8" w:rsidRDefault="007A2EC8">
            <w:pPr>
              <w:pStyle w:val="TableText"/>
            </w:pPr>
          </w:p>
        </w:tc>
        <w:tc>
          <w:tcPr>
            <w:tcW w:w="5891" w:type="dxa"/>
            <w:gridSpan w:val="3"/>
          </w:tcPr>
          <w:p w14:paraId="69F9EFC3" w14:textId="571CD6B8" w:rsidR="007A2EC8" w:rsidRPr="007A2EC8" w:rsidRDefault="007A2EC8" w:rsidP="00F77AD9">
            <w:pPr>
              <w:pStyle w:val="TableBlock"/>
              <w:rPr>
                <w:rtl/>
              </w:rPr>
            </w:pPr>
            <w:r>
              <w:rPr>
                <w:rFonts w:hint="cs"/>
                <w:rtl/>
              </w:rPr>
              <w:t>(ג)</w:t>
            </w:r>
            <w:r w:rsidR="00600A1A">
              <w:rPr>
                <w:rtl/>
              </w:rPr>
              <w:tab/>
            </w:r>
            <w:r w:rsidR="00600A1A">
              <w:rPr>
                <w:rFonts w:hint="cs"/>
                <w:rtl/>
              </w:rPr>
              <w:t>מסיעתו לא מונו סגנים לראש העירייה;</w:t>
            </w:r>
          </w:p>
        </w:tc>
      </w:tr>
      <w:tr w:rsidR="00B42A30" w14:paraId="51331979" w14:textId="77777777" w:rsidTr="00F77AD9">
        <w:trPr>
          <w:gridAfter w:val="1"/>
          <w:wAfter w:w="7" w:type="dxa"/>
          <w:cantSplit/>
        </w:trPr>
        <w:tc>
          <w:tcPr>
            <w:tcW w:w="1870" w:type="dxa"/>
          </w:tcPr>
          <w:p w14:paraId="041F426D" w14:textId="77777777" w:rsidR="007A2EC8" w:rsidRDefault="007A2EC8">
            <w:pPr>
              <w:pStyle w:val="TableSideHeading"/>
            </w:pPr>
          </w:p>
        </w:tc>
        <w:tc>
          <w:tcPr>
            <w:tcW w:w="624" w:type="dxa"/>
          </w:tcPr>
          <w:p w14:paraId="3E4410F0" w14:textId="77777777" w:rsidR="007A2EC8" w:rsidRDefault="007A2EC8">
            <w:pPr>
              <w:pStyle w:val="TableText"/>
            </w:pPr>
          </w:p>
        </w:tc>
        <w:tc>
          <w:tcPr>
            <w:tcW w:w="624" w:type="dxa"/>
          </w:tcPr>
          <w:p w14:paraId="544A89A6" w14:textId="77777777" w:rsidR="007A2EC8" w:rsidRDefault="007A2EC8">
            <w:pPr>
              <w:pStyle w:val="TableText"/>
            </w:pPr>
          </w:p>
        </w:tc>
        <w:tc>
          <w:tcPr>
            <w:tcW w:w="624" w:type="dxa"/>
          </w:tcPr>
          <w:p w14:paraId="4A8F8390" w14:textId="77777777" w:rsidR="007A2EC8" w:rsidRDefault="007A2EC8">
            <w:pPr>
              <w:pStyle w:val="TableText"/>
            </w:pPr>
          </w:p>
        </w:tc>
        <w:tc>
          <w:tcPr>
            <w:tcW w:w="5891" w:type="dxa"/>
            <w:gridSpan w:val="3"/>
          </w:tcPr>
          <w:p w14:paraId="7EB7187B" w14:textId="5F240CAC" w:rsidR="007A2EC8" w:rsidRPr="007A2EC8" w:rsidRDefault="007A2EC8" w:rsidP="00F77AD9">
            <w:pPr>
              <w:pStyle w:val="TableBlock"/>
              <w:rPr>
                <w:rtl/>
              </w:rPr>
            </w:pPr>
            <w:r>
              <w:rPr>
                <w:rFonts w:hint="cs"/>
                <w:rtl/>
              </w:rPr>
              <w:t>(ד)</w:t>
            </w:r>
            <w:r w:rsidR="00600A1A">
              <w:rPr>
                <w:rtl/>
              </w:rPr>
              <w:tab/>
            </w:r>
            <w:r w:rsidR="00600A1A">
              <w:rPr>
                <w:rFonts w:hint="cs"/>
                <w:rtl/>
              </w:rPr>
              <w:t>סיעתו אינה קשורה בהסכם המתייחס לכהונת</w:t>
            </w:r>
            <w:r w:rsidR="00BF36CC">
              <w:rPr>
                <w:rFonts w:hint="cs"/>
                <w:rtl/>
              </w:rPr>
              <w:t xml:space="preserve"> ראש העירייה או לניהול העירייה";</w:t>
            </w:r>
          </w:p>
        </w:tc>
      </w:tr>
      <w:tr w:rsidR="00B42A30" w14:paraId="636D89B0" w14:textId="77777777" w:rsidTr="00F77AD9">
        <w:trPr>
          <w:gridAfter w:val="1"/>
          <w:wAfter w:w="7" w:type="dxa"/>
          <w:cantSplit/>
        </w:trPr>
        <w:tc>
          <w:tcPr>
            <w:tcW w:w="1870" w:type="dxa"/>
          </w:tcPr>
          <w:p w14:paraId="79824485" w14:textId="4913EEF9" w:rsidR="00F94A61" w:rsidRDefault="00F94A61">
            <w:pPr>
              <w:pStyle w:val="TableSideHeading"/>
              <w:rPr>
                <w:rtl/>
              </w:rPr>
            </w:pPr>
          </w:p>
        </w:tc>
        <w:tc>
          <w:tcPr>
            <w:tcW w:w="624" w:type="dxa"/>
          </w:tcPr>
          <w:p w14:paraId="158B8E4A" w14:textId="4FD386B0" w:rsidR="00F94A61" w:rsidRDefault="00F94A61" w:rsidP="00DB1190">
            <w:pPr>
              <w:pStyle w:val="TableText"/>
              <w:rPr>
                <w:rtl/>
              </w:rPr>
            </w:pPr>
          </w:p>
        </w:tc>
        <w:tc>
          <w:tcPr>
            <w:tcW w:w="7139" w:type="dxa"/>
            <w:gridSpan w:val="5"/>
          </w:tcPr>
          <w:p w14:paraId="25DE7CFC" w14:textId="78D9C482" w:rsidR="00F94A61" w:rsidRDefault="00521FE0" w:rsidP="00BF36CC">
            <w:pPr>
              <w:pStyle w:val="TableBlock"/>
              <w:rPr>
                <w:rtl/>
              </w:rPr>
            </w:pPr>
            <w:r>
              <w:rPr>
                <w:rFonts w:hint="cs"/>
                <w:rtl/>
              </w:rPr>
              <w:t>(</w:t>
            </w:r>
            <w:r w:rsidR="006344A5">
              <w:rPr>
                <w:rFonts w:hint="cs"/>
                <w:rtl/>
              </w:rPr>
              <w:t>5)</w:t>
            </w:r>
            <w:r>
              <w:rPr>
                <w:rtl/>
              </w:rPr>
              <w:tab/>
            </w:r>
            <w:r w:rsidR="006344A5">
              <w:rPr>
                <w:rFonts w:hint="cs"/>
                <w:rtl/>
              </w:rPr>
              <w:t xml:space="preserve">בסעיף 166, </w:t>
            </w:r>
            <w:r w:rsidR="00FC6EF7">
              <w:rPr>
                <w:rFonts w:hint="cs"/>
                <w:rtl/>
              </w:rPr>
              <w:t xml:space="preserve">סעיף קטן (אא) </w:t>
            </w:r>
            <w:r w:rsidR="006344A5">
              <w:rPr>
                <w:rFonts w:hint="cs"/>
                <w:rtl/>
              </w:rPr>
              <w:t xml:space="preserve">יסומן (א1) ואחריו </w:t>
            </w:r>
            <w:r w:rsidR="00FC6EF7">
              <w:rPr>
                <w:rFonts w:hint="cs"/>
                <w:rtl/>
              </w:rPr>
              <w:t xml:space="preserve">יבוא: </w:t>
            </w:r>
          </w:p>
        </w:tc>
      </w:tr>
      <w:tr w:rsidR="00B42A30" w14:paraId="1B268378" w14:textId="77777777" w:rsidTr="00F77AD9">
        <w:trPr>
          <w:gridAfter w:val="1"/>
          <w:wAfter w:w="7" w:type="dxa"/>
          <w:cantSplit/>
        </w:trPr>
        <w:tc>
          <w:tcPr>
            <w:tcW w:w="1870" w:type="dxa"/>
          </w:tcPr>
          <w:p w14:paraId="5B63105E" w14:textId="77777777" w:rsidR="00FC6EF7" w:rsidRDefault="00FC6EF7">
            <w:pPr>
              <w:pStyle w:val="TableSideHeading"/>
            </w:pPr>
          </w:p>
        </w:tc>
        <w:tc>
          <w:tcPr>
            <w:tcW w:w="624" w:type="dxa"/>
          </w:tcPr>
          <w:p w14:paraId="0277C34A" w14:textId="77777777" w:rsidR="00FC6EF7" w:rsidRDefault="00FC6EF7">
            <w:pPr>
              <w:pStyle w:val="TableText"/>
            </w:pPr>
          </w:p>
        </w:tc>
        <w:tc>
          <w:tcPr>
            <w:tcW w:w="624" w:type="dxa"/>
          </w:tcPr>
          <w:p w14:paraId="478B98E4" w14:textId="77777777" w:rsidR="00FC6EF7" w:rsidRDefault="00FC6EF7">
            <w:pPr>
              <w:pStyle w:val="TableText"/>
            </w:pPr>
          </w:p>
        </w:tc>
        <w:tc>
          <w:tcPr>
            <w:tcW w:w="6515" w:type="dxa"/>
            <w:gridSpan w:val="4"/>
          </w:tcPr>
          <w:p w14:paraId="517546B6" w14:textId="050701B9" w:rsidR="00FC6EF7" w:rsidRDefault="00FC6EF7" w:rsidP="00F77AD9">
            <w:pPr>
              <w:pStyle w:val="TableBlock"/>
            </w:pPr>
            <w:r>
              <w:rPr>
                <w:rFonts w:hint="cs"/>
                <w:rtl/>
              </w:rPr>
              <w:t>"(א</w:t>
            </w:r>
            <w:r w:rsidR="006344A5">
              <w:rPr>
                <w:rFonts w:hint="cs"/>
                <w:rtl/>
              </w:rPr>
              <w:t>2</w:t>
            </w:r>
            <w:r w:rsidR="004E55F6">
              <w:rPr>
                <w:rFonts w:hint="cs"/>
                <w:rtl/>
              </w:rPr>
              <w:t xml:space="preserve">) </w:t>
            </w:r>
            <w:r w:rsidR="004E55F6">
              <w:rPr>
                <w:rtl/>
              </w:rPr>
              <w:tab/>
            </w:r>
            <w:r w:rsidR="00405CA1">
              <w:rPr>
                <w:rFonts w:hint="cs"/>
                <w:rtl/>
              </w:rPr>
              <w:t xml:space="preserve">ישיבת ועדת </w:t>
            </w:r>
            <w:r>
              <w:rPr>
                <w:rFonts w:hint="cs"/>
                <w:rtl/>
              </w:rPr>
              <w:t>חובה תתחיל לא לפני השעה 17:00, זולת א</w:t>
            </w:r>
            <w:r w:rsidR="00061BD0">
              <w:rPr>
                <w:rFonts w:hint="cs"/>
                <w:rtl/>
              </w:rPr>
              <w:t>ם הסכימו שני שליש מחברי המועצה הח</w:t>
            </w:r>
            <w:r>
              <w:rPr>
                <w:rFonts w:hint="cs"/>
                <w:rtl/>
              </w:rPr>
              <w:t>ברים בו</w:t>
            </w:r>
            <w:r w:rsidR="00061BD0">
              <w:rPr>
                <w:rFonts w:hint="cs"/>
                <w:rtl/>
              </w:rPr>
              <w:t>ו</w:t>
            </w:r>
            <w:r w:rsidR="00405CA1">
              <w:rPr>
                <w:rFonts w:hint="cs"/>
                <w:rtl/>
              </w:rPr>
              <w:t xml:space="preserve">עדת </w:t>
            </w:r>
            <w:r>
              <w:rPr>
                <w:rFonts w:hint="cs"/>
                <w:rtl/>
              </w:rPr>
              <w:t>חובה על שעה אחרת</w:t>
            </w:r>
            <w:r w:rsidR="00636627">
              <w:rPr>
                <w:rFonts w:hint="cs"/>
                <w:rtl/>
              </w:rPr>
              <w:t>."</w:t>
            </w:r>
            <w:r w:rsidR="00BF36CC">
              <w:rPr>
                <w:rFonts w:hint="cs"/>
                <w:rtl/>
              </w:rPr>
              <w:t>;</w:t>
            </w:r>
          </w:p>
        </w:tc>
      </w:tr>
      <w:tr w:rsidR="00B42A30" w14:paraId="46CAA931" w14:textId="77777777" w:rsidTr="00F77AD9">
        <w:trPr>
          <w:gridAfter w:val="1"/>
          <w:wAfter w:w="7" w:type="dxa"/>
          <w:cantSplit/>
        </w:trPr>
        <w:tc>
          <w:tcPr>
            <w:tcW w:w="1870" w:type="dxa"/>
          </w:tcPr>
          <w:p w14:paraId="03E1C15E" w14:textId="5A8A537D" w:rsidR="00966E41" w:rsidRDefault="00966E41">
            <w:pPr>
              <w:pStyle w:val="TableSideHeading"/>
              <w:rPr>
                <w:rtl/>
              </w:rPr>
            </w:pPr>
          </w:p>
        </w:tc>
        <w:tc>
          <w:tcPr>
            <w:tcW w:w="624" w:type="dxa"/>
          </w:tcPr>
          <w:p w14:paraId="06C3F11E" w14:textId="0781C96F" w:rsidR="00966E41" w:rsidRDefault="00966E41">
            <w:pPr>
              <w:pStyle w:val="TableText"/>
              <w:rPr>
                <w:rtl/>
              </w:rPr>
            </w:pPr>
          </w:p>
        </w:tc>
        <w:tc>
          <w:tcPr>
            <w:tcW w:w="7139" w:type="dxa"/>
            <w:gridSpan w:val="5"/>
          </w:tcPr>
          <w:p w14:paraId="2605C7B1" w14:textId="63AD25E5" w:rsidR="00966E41" w:rsidRDefault="00E35C9F" w:rsidP="00BF36CC">
            <w:pPr>
              <w:pStyle w:val="TableBlock"/>
              <w:rPr>
                <w:rtl/>
              </w:rPr>
            </w:pPr>
            <w:r>
              <w:rPr>
                <w:rFonts w:hint="cs"/>
                <w:rtl/>
              </w:rPr>
              <w:t>(</w:t>
            </w:r>
            <w:r w:rsidR="007706F8">
              <w:rPr>
                <w:rFonts w:hint="cs"/>
                <w:rtl/>
              </w:rPr>
              <w:t>6</w:t>
            </w:r>
            <w:r w:rsidR="00F437F6">
              <w:rPr>
                <w:rFonts w:hint="cs"/>
                <w:rtl/>
              </w:rPr>
              <w:t>)</w:t>
            </w:r>
            <w:r>
              <w:rPr>
                <w:rtl/>
              </w:rPr>
              <w:tab/>
            </w:r>
            <w:r w:rsidR="00966E41">
              <w:rPr>
                <w:rFonts w:hint="cs"/>
                <w:rtl/>
              </w:rPr>
              <w:t xml:space="preserve">בתוספת השנייה, בסעיף 33, האמור בו יסומן </w:t>
            </w:r>
            <w:r w:rsidR="00BF36CC">
              <w:rPr>
                <w:rFonts w:hint="cs"/>
                <w:rtl/>
              </w:rPr>
              <w:t>"</w:t>
            </w:r>
            <w:r w:rsidR="00966E41">
              <w:rPr>
                <w:rFonts w:hint="cs"/>
                <w:rtl/>
              </w:rPr>
              <w:t>(א)</w:t>
            </w:r>
            <w:r w:rsidR="00BF36CC">
              <w:rPr>
                <w:rFonts w:hint="cs"/>
                <w:rtl/>
              </w:rPr>
              <w:t>"</w:t>
            </w:r>
            <w:r w:rsidR="00966E41">
              <w:rPr>
                <w:rFonts w:hint="cs"/>
                <w:rtl/>
              </w:rPr>
              <w:t xml:space="preserve"> ואחריו יבוא:</w:t>
            </w:r>
          </w:p>
        </w:tc>
      </w:tr>
      <w:tr w:rsidR="00B42A30" w14:paraId="3561EBF6" w14:textId="77777777" w:rsidTr="00F77AD9">
        <w:trPr>
          <w:gridAfter w:val="1"/>
          <w:wAfter w:w="7" w:type="dxa"/>
          <w:cantSplit/>
        </w:trPr>
        <w:tc>
          <w:tcPr>
            <w:tcW w:w="1870" w:type="dxa"/>
          </w:tcPr>
          <w:p w14:paraId="238F5E92" w14:textId="77777777" w:rsidR="00E7438F" w:rsidRPr="00DB1190" w:rsidRDefault="00E7438F">
            <w:pPr>
              <w:pStyle w:val="TableSideHeading"/>
            </w:pPr>
          </w:p>
        </w:tc>
        <w:tc>
          <w:tcPr>
            <w:tcW w:w="624" w:type="dxa"/>
          </w:tcPr>
          <w:p w14:paraId="4E2BC4C8" w14:textId="77777777" w:rsidR="00E7438F" w:rsidRDefault="00E7438F">
            <w:pPr>
              <w:pStyle w:val="TableText"/>
            </w:pPr>
          </w:p>
        </w:tc>
        <w:tc>
          <w:tcPr>
            <w:tcW w:w="624" w:type="dxa"/>
          </w:tcPr>
          <w:p w14:paraId="0028F9E9" w14:textId="77777777" w:rsidR="00E7438F" w:rsidRDefault="00E7438F">
            <w:pPr>
              <w:pStyle w:val="TableText"/>
            </w:pPr>
          </w:p>
        </w:tc>
        <w:tc>
          <w:tcPr>
            <w:tcW w:w="6515" w:type="dxa"/>
            <w:gridSpan w:val="4"/>
          </w:tcPr>
          <w:p w14:paraId="3F081D89" w14:textId="45F3B339" w:rsidR="00E7438F" w:rsidRDefault="00261838" w:rsidP="00F77AD9">
            <w:pPr>
              <w:pStyle w:val="TableBlock"/>
            </w:pPr>
            <w:r>
              <w:rPr>
                <w:rFonts w:hint="cs"/>
                <w:rtl/>
              </w:rPr>
              <w:t>"(ב)</w:t>
            </w:r>
            <w:r>
              <w:rPr>
                <w:rtl/>
              </w:rPr>
              <w:tab/>
            </w:r>
            <w:r w:rsidR="00A15AF9">
              <w:rPr>
                <w:rFonts w:hint="cs"/>
                <w:rtl/>
              </w:rPr>
              <w:t xml:space="preserve">בלי לגרוע מהאמור בסעיף קטן (א), ראש הישיבה ייתן את זכות הדיבור ליושב ראש האופוזיציה לאחר דברי הפתיחה לנושא שעל סדר היום." </w:t>
            </w:r>
          </w:p>
        </w:tc>
      </w:tr>
      <w:tr w:rsidR="00B42A30" w14:paraId="4DC1AD99" w14:textId="77777777" w:rsidTr="00F77AD9">
        <w:trPr>
          <w:gridAfter w:val="1"/>
          <w:wAfter w:w="7" w:type="dxa"/>
          <w:cantSplit/>
        </w:trPr>
        <w:tc>
          <w:tcPr>
            <w:tcW w:w="1870" w:type="dxa"/>
          </w:tcPr>
          <w:p w14:paraId="68E2A95E" w14:textId="19E0B96C" w:rsidR="008163A8" w:rsidRDefault="00580129">
            <w:pPr>
              <w:pStyle w:val="TableSideHeading"/>
            </w:pPr>
            <w:r>
              <w:rPr>
                <w:rFonts w:hint="cs"/>
                <w:rtl/>
              </w:rPr>
              <w:t>תיקון פקודת המועצות המקומיות</w:t>
            </w:r>
          </w:p>
        </w:tc>
        <w:tc>
          <w:tcPr>
            <w:tcW w:w="624" w:type="dxa"/>
          </w:tcPr>
          <w:p w14:paraId="5A88585C" w14:textId="4781B9CB" w:rsidR="008163A8" w:rsidRDefault="00580129">
            <w:pPr>
              <w:pStyle w:val="TableText"/>
            </w:pPr>
            <w:r>
              <w:rPr>
                <w:rFonts w:hint="cs"/>
                <w:rtl/>
              </w:rPr>
              <w:t xml:space="preserve">2. </w:t>
            </w:r>
          </w:p>
        </w:tc>
        <w:tc>
          <w:tcPr>
            <w:tcW w:w="7139" w:type="dxa"/>
            <w:gridSpan w:val="5"/>
          </w:tcPr>
          <w:p w14:paraId="3BB299C3" w14:textId="12AAE7AD" w:rsidR="008163A8" w:rsidRPr="00C34DE2" w:rsidRDefault="00580129" w:rsidP="00F77AD9">
            <w:pPr>
              <w:pStyle w:val="TableBlock"/>
            </w:pPr>
            <w:r>
              <w:rPr>
                <w:rFonts w:hint="cs"/>
                <w:rtl/>
              </w:rPr>
              <w:t>בפקודת המועצות המקומיות</w:t>
            </w:r>
            <w:r>
              <w:rPr>
                <w:rStyle w:val="a6"/>
                <w:rtl/>
              </w:rPr>
              <w:footnoteReference w:id="3"/>
            </w:r>
            <w:r>
              <w:rPr>
                <w:rFonts w:hint="cs"/>
                <w:rtl/>
              </w:rPr>
              <w:t xml:space="preserve">, בסעיף </w:t>
            </w:r>
            <w:r w:rsidR="00884BD4">
              <w:rPr>
                <w:rFonts w:hint="cs"/>
                <w:rtl/>
              </w:rPr>
              <w:t>34א</w:t>
            </w:r>
            <w:r w:rsidR="0063736E">
              <w:rPr>
                <w:rFonts w:hint="cs"/>
                <w:rtl/>
              </w:rPr>
              <w:t xml:space="preserve"> </w:t>
            </w:r>
            <w:r w:rsidR="0063736E">
              <w:rPr>
                <w:rtl/>
              </w:rPr>
              <w:t>–</w:t>
            </w:r>
            <w:r w:rsidR="0063736E">
              <w:rPr>
                <w:rFonts w:hint="cs"/>
                <w:rtl/>
              </w:rPr>
              <w:t xml:space="preserve"> </w:t>
            </w:r>
          </w:p>
        </w:tc>
      </w:tr>
      <w:tr w:rsidR="00B42A30" w14:paraId="3E985F04" w14:textId="77777777" w:rsidTr="00F77AD9">
        <w:trPr>
          <w:gridAfter w:val="1"/>
          <w:wAfter w:w="7" w:type="dxa"/>
          <w:cantSplit/>
        </w:trPr>
        <w:tc>
          <w:tcPr>
            <w:tcW w:w="1870" w:type="dxa"/>
          </w:tcPr>
          <w:p w14:paraId="4EB47E5F" w14:textId="77777777" w:rsidR="002F2D76" w:rsidRDefault="002F2D76">
            <w:pPr>
              <w:pStyle w:val="TableSideHeading"/>
              <w:rPr>
                <w:rtl/>
              </w:rPr>
            </w:pPr>
          </w:p>
        </w:tc>
        <w:tc>
          <w:tcPr>
            <w:tcW w:w="624" w:type="dxa"/>
          </w:tcPr>
          <w:p w14:paraId="7D60ED5C" w14:textId="77777777" w:rsidR="002F2D76" w:rsidRDefault="002F2D76" w:rsidP="00DB1190">
            <w:pPr>
              <w:pStyle w:val="TableText"/>
              <w:rPr>
                <w:rtl/>
              </w:rPr>
            </w:pPr>
          </w:p>
        </w:tc>
        <w:tc>
          <w:tcPr>
            <w:tcW w:w="7139" w:type="dxa"/>
            <w:gridSpan w:val="5"/>
          </w:tcPr>
          <w:p w14:paraId="0A7ED404" w14:textId="64B760F9" w:rsidR="002F2D76" w:rsidRDefault="002F2D76" w:rsidP="00F77AD9">
            <w:pPr>
              <w:pStyle w:val="TableBlock"/>
              <w:rPr>
                <w:rtl/>
              </w:rPr>
            </w:pPr>
            <w:r w:rsidRPr="00DB1190">
              <w:rPr>
                <w:rFonts w:hint="cs"/>
                <w:rtl/>
              </w:rPr>
              <w:t>(1</w:t>
            </w:r>
            <w:r>
              <w:rPr>
                <w:rFonts w:hint="cs"/>
                <w:rtl/>
              </w:rPr>
              <w:t>)</w:t>
            </w:r>
            <w:r>
              <w:rPr>
                <w:rFonts w:hint="cs"/>
                <w:rtl/>
              </w:rPr>
              <w:tab/>
            </w:r>
            <w:r w:rsidR="00CD6F0F">
              <w:rPr>
                <w:rFonts w:hint="cs"/>
                <w:rtl/>
              </w:rPr>
              <w:t xml:space="preserve">במקום "וסעיפים </w:t>
            </w:r>
            <w:r w:rsidR="00BF36CC">
              <w:rPr>
                <w:rFonts w:hint="cs"/>
                <w:rtl/>
              </w:rPr>
              <w:t>142א" יבוא "וסעיפים 125ד, 142א";</w:t>
            </w:r>
          </w:p>
        </w:tc>
      </w:tr>
      <w:tr w:rsidR="00B42A30" w14:paraId="28690032" w14:textId="77777777" w:rsidTr="00F77AD9">
        <w:trPr>
          <w:gridAfter w:val="1"/>
          <w:wAfter w:w="7" w:type="dxa"/>
          <w:cantSplit/>
        </w:trPr>
        <w:tc>
          <w:tcPr>
            <w:tcW w:w="1870" w:type="dxa"/>
          </w:tcPr>
          <w:p w14:paraId="4E173281" w14:textId="77777777" w:rsidR="006D1BF2" w:rsidRDefault="006D1BF2">
            <w:pPr>
              <w:pStyle w:val="TableSideHeading"/>
              <w:rPr>
                <w:rtl/>
              </w:rPr>
            </w:pPr>
          </w:p>
        </w:tc>
        <w:tc>
          <w:tcPr>
            <w:tcW w:w="624" w:type="dxa"/>
          </w:tcPr>
          <w:p w14:paraId="6AF95088" w14:textId="77777777" w:rsidR="006D1BF2" w:rsidRDefault="006D1BF2" w:rsidP="002F2D76">
            <w:pPr>
              <w:pStyle w:val="TableText"/>
              <w:rPr>
                <w:rtl/>
              </w:rPr>
            </w:pPr>
          </w:p>
        </w:tc>
        <w:tc>
          <w:tcPr>
            <w:tcW w:w="7139" w:type="dxa"/>
            <w:gridSpan w:val="5"/>
          </w:tcPr>
          <w:p w14:paraId="79937128" w14:textId="111393CA" w:rsidR="006D1BF2" w:rsidRPr="00DB1190" w:rsidRDefault="006D1BF2" w:rsidP="00F77AD9">
            <w:pPr>
              <w:pStyle w:val="TableBlock"/>
              <w:rPr>
                <w:rtl/>
              </w:rPr>
            </w:pPr>
            <w:r>
              <w:rPr>
                <w:rFonts w:hint="cs"/>
                <w:rtl/>
              </w:rPr>
              <w:t>(2)</w:t>
            </w:r>
            <w:r>
              <w:rPr>
                <w:rtl/>
              </w:rPr>
              <w:tab/>
            </w:r>
            <w:r>
              <w:rPr>
                <w:rFonts w:hint="cs"/>
                <w:rtl/>
              </w:rPr>
              <w:t xml:space="preserve">אחרי "חוב ארנונה או אספקת מים," יבוא "סעיף 140א". </w:t>
            </w:r>
          </w:p>
        </w:tc>
      </w:tr>
      <w:tr w:rsidR="00B42A30" w14:paraId="1C583DC1" w14:textId="77777777" w:rsidTr="00F77AD9">
        <w:trPr>
          <w:gridAfter w:val="1"/>
          <w:wAfter w:w="7" w:type="dxa"/>
          <w:cantSplit/>
        </w:trPr>
        <w:tc>
          <w:tcPr>
            <w:tcW w:w="1870" w:type="dxa"/>
          </w:tcPr>
          <w:p w14:paraId="2364D684" w14:textId="7036DE27" w:rsidR="006538FD" w:rsidDel="00445AE1" w:rsidRDefault="00953285" w:rsidP="006A78F2">
            <w:pPr>
              <w:pStyle w:val="TableSideHeading"/>
              <w:rPr>
                <w:rtl/>
              </w:rPr>
            </w:pPr>
            <w:r>
              <w:rPr>
                <w:rFonts w:hint="cs"/>
                <w:rtl/>
              </w:rPr>
              <w:t>תיקון חוק הרשויות המקומיות (ייעוץ משפטי)</w:t>
            </w:r>
          </w:p>
        </w:tc>
        <w:tc>
          <w:tcPr>
            <w:tcW w:w="624" w:type="dxa"/>
          </w:tcPr>
          <w:p w14:paraId="6E8655F0" w14:textId="692C6628" w:rsidR="006538FD" w:rsidRDefault="00A50AD7" w:rsidP="006A78F2">
            <w:pPr>
              <w:pStyle w:val="TableText"/>
              <w:rPr>
                <w:rtl/>
              </w:rPr>
            </w:pPr>
            <w:r>
              <w:rPr>
                <w:rFonts w:hint="cs"/>
                <w:rtl/>
              </w:rPr>
              <w:t>3.</w:t>
            </w:r>
          </w:p>
        </w:tc>
        <w:tc>
          <w:tcPr>
            <w:tcW w:w="7139" w:type="dxa"/>
            <w:gridSpan w:val="5"/>
          </w:tcPr>
          <w:p w14:paraId="329BC16D" w14:textId="472ED36C" w:rsidR="006538FD" w:rsidRDefault="006538FD" w:rsidP="00F77AD9">
            <w:pPr>
              <w:pStyle w:val="TableBlock"/>
              <w:rPr>
                <w:rtl/>
              </w:rPr>
            </w:pPr>
            <w:r w:rsidRPr="006538FD">
              <w:rPr>
                <w:rtl/>
              </w:rPr>
              <w:t>בחוק הרשויות המקומיות</w:t>
            </w:r>
            <w:r w:rsidR="00A50AD7">
              <w:rPr>
                <w:rtl/>
              </w:rPr>
              <w:t xml:space="preserve"> (ייעוץ משפטי)</w:t>
            </w:r>
            <w:r w:rsidR="00A50AD7">
              <w:rPr>
                <w:rFonts w:hint="cs"/>
                <w:rtl/>
              </w:rPr>
              <w:t>, התשל"ו</w:t>
            </w:r>
            <w:r w:rsidR="00A50AD7">
              <w:rPr>
                <w:rtl/>
              </w:rPr>
              <w:t>–</w:t>
            </w:r>
            <w:r w:rsidR="00A50AD7">
              <w:rPr>
                <w:rFonts w:hint="cs"/>
                <w:rtl/>
              </w:rPr>
              <w:t>1975</w:t>
            </w:r>
            <w:r w:rsidR="00A50AD7">
              <w:rPr>
                <w:rStyle w:val="a6"/>
                <w:rtl/>
              </w:rPr>
              <w:footnoteReference w:id="4"/>
            </w:r>
            <w:r w:rsidR="00A50AD7">
              <w:rPr>
                <w:rFonts w:hint="cs"/>
                <w:rtl/>
              </w:rPr>
              <w:t xml:space="preserve">, אחרי סעיף 5א יבוא: </w:t>
            </w:r>
          </w:p>
        </w:tc>
      </w:tr>
      <w:tr w:rsidR="00B42A30" w14:paraId="41E92D42" w14:textId="77777777" w:rsidTr="00F77AD9">
        <w:trPr>
          <w:cantSplit/>
        </w:trPr>
        <w:tc>
          <w:tcPr>
            <w:tcW w:w="1870" w:type="dxa"/>
          </w:tcPr>
          <w:p w14:paraId="01DB9F81" w14:textId="77777777" w:rsidR="00520108" w:rsidRDefault="00520108" w:rsidP="00F77AD9">
            <w:pPr>
              <w:pStyle w:val="TableSideHeading"/>
              <w:ind w:right="0"/>
            </w:pPr>
          </w:p>
        </w:tc>
        <w:tc>
          <w:tcPr>
            <w:tcW w:w="624" w:type="dxa"/>
          </w:tcPr>
          <w:p w14:paraId="6182C3D8" w14:textId="77777777" w:rsidR="00520108" w:rsidRDefault="00520108">
            <w:pPr>
              <w:pStyle w:val="TableText"/>
              <w:keepLines w:val="0"/>
            </w:pPr>
          </w:p>
        </w:tc>
        <w:tc>
          <w:tcPr>
            <w:tcW w:w="1876" w:type="dxa"/>
            <w:gridSpan w:val="3"/>
          </w:tcPr>
          <w:p w14:paraId="70A02736" w14:textId="5B9D61AA" w:rsidR="00520108" w:rsidRDefault="00520108" w:rsidP="00DB1190">
            <w:pPr>
              <w:pStyle w:val="TableInnerSideHeading"/>
            </w:pPr>
            <w:r>
              <w:rPr>
                <w:rFonts w:hint="cs"/>
                <w:rtl/>
              </w:rPr>
              <w:t>"ייצוג משפטי לחברי האופוזיציה</w:t>
            </w:r>
          </w:p>
        </w:tc>
        <w:tc>
          <w:tcPr>
            <w:tcW w:w="621" w:type="dxa"/>
          </w:tcPr>
          <w:p w14:paraId="4B0D291E" w14:textId="3FB8AB7F" w:rsidR="00520108" w:rsidRDefault="00520108">
            <w:pPr>
              <w:pStyle w:val="TableText"/>
            </w:pPr>
            <w:r>
              <w:rPr>
                <w:rFonts w:hint="cs"/>
                <w:rtl/>
              </w:rPr>
              <w:t>5ב.</w:t>
            </w:r>
          </w:p>
        </w:tc>
        <w:tc>
          <w:tcPr>
            <w:tcW w:w="4649" w:type="dxa"/>
            <w:gridSpan w:val="2"/>
          </w:tcPr>
          <w:p w14:paraId="52EF5052" w14:textId="46FBBDDB" w:rsidR="00520108" w:rsidRDefault="00520108" w:rsidP="00F77AD9">
            <w:pPr>
              <w:pStyle w:val="TableBlock"/>
            </w:pPr>
            <w:r w:rsidRPr="00520108">
              <w:rPr>
                <w:rtl/>
              </w:rPr>
              <w:t>(</w:t>
            </w:r>
            <w:r w:rsidR="001659A0">
              <w:rPr>
                <w:rFonts w:hint="cs"/>
                <w:rtl/>
              </w:rPr>
              <w:t>א</w:t>
            </w:r>
            <w:r>
              <w:rPr>
                <w:rtl/>
              </w:rPr>
              <w:t>)</w:t>
            </w:r>
            <w:r>
              <w:rPr>
                <w:rtl/>
              </w:rPr>
              <w:tab/>
            </w:r>
            <w:r>
              <w:rPr>
                <w:rFonts w:hint="cs"/>
                <w:rtl/>
              </w:rPr>
              <w:t>הרשות המקומית תקצה מתקציב הייעוץ המשפטי השנתי עבור ייצוג משפטי נפרד ובלתי תלוי לחברי מועצת הרשות שאינם חברים בסיעות הקואליציה.</w:t>
            </w:r>
          </w:p>
        </w:tc>
      </w:tr>
      <w:tr w:rsidR="00B42A30" w14:paraId="0F904927" w14:textId="77777777" w:rsidTr="00F77AD9">
        <w:trPr>
          <w:gridAfter w:val="1"/>
          <w:wAfter w:w="7" w:type="dxa"/>
          <w:cantSplit/>
        </w:trPr>
        <w:tc>
          <w:tcPr>
            <w:tcW w:w="1870" w:type="dxa"/>
          </w:tcPr>
          <w:p w14:paraId="42AF573F" w14:textId="77777777" w:rsidR="001659A0" w:rsidRDefault="001659A0">
            <w:pPr>
              <w:pStyle w:val="TableSideHeading"/>
            </w:pPr>
          </w:p>
        </w:tc>
        <w:tc>
          <w:tcPr>
            <w:tcW w:w="624" w:type="dxa"/>
          </w:tcPr>
          <w:p w14:paraId="5BB2D9D0" w14:textId="77777777" w:rsidR="001659A0" w:rsidRDefault="001659A0">
            <w:pPr>
              <w:pStyle w:val="TableText"/>
            </w:pPr>
          </w:p>
        </w:tc>
        <w:tc>
          <w:tcPr>
            <w:tcW w:w="624" w:type="dxa"/>
          </w:tcPr>
          <w:p w14:paraId="775AD6CD" w14:textId="77777777" w:rsidR="001659A0" w:rsidRDefault="001659A0">
            <w:pPr>
              <w:pStyle w:val="TableText"/>
            </w:pPr>
          </w:p>
        </w:tc>
        <w:tc>
          <w:tcPr>
            <w:tcW w:w="624" w:type="dxa"/>
          </w:tcPr>
          <w:p w14:paraId="72EF794B" w14:textId="77777777" w:rsidR="001659A0" w:rsidRDefault="001659A0">
            <w:pPr>
              <w:pStyle w:val="TableText"/>
            </w:pPr>
          </w:p>
        </w:tc>
        <w:tc>
          <w:tcPr>
            <w:tcW w:w="628" w:type="dxa"/>
          </w:tcPr>
          <w:p w14:paraId="680D3824" w14:textId="77777777" w:rsidR="001659A0" w:rsidRDefault="001659A0">
            <w:pPr>
              <w:pStyle w:val="TableText"/>
            </w:pPr>
          </w:p>
        </w:tc>
        <w:tc>
          <w:tcPr>
            <w:tcW w:w="621" w:type="dxa"/>
          </w:tcPr>
          <w:p w14:paraId="5E2FADB2" w14:textId="77777777" w:rsidR="001659A0" w:rsidRDefault="001659A0">
            <w:pPr>
              <w:pStyle w:val="TableText"/>
            </w:pPr>
          </w:p>
        </w:tc>
        <w:tc>
          <w:tcPr>
            <w:tcW w:w="4642" w:type="dxa"/>
          </w:tcPr>
          <w:p w14:paraId="66275FBA" w14:textId="651DEB7B" w:rsidR="001659A0" w:rsidRDefault="001659A0" w:rsidP="00BF36CC">
            <w:pPr>
              <w:pStyle w:val="TableBlock"/>
            </w:pPr>
            <w:r>
              <w:rPr>
                <w:rFonts w:hint="cs"/>
                <w:rtl/>
              </w:rPr>
              <w:t>(ב)</w:t>
            </w:r>
            <w:r>
              <w:rPr>
                <w:rtl/>
              </w:rPr>
              <w:tab/>
            </w:r>
            <w:r w:rsidR="004031CA">
              <w:rPr>
                <w:rFonts w:hint="cs"/>
                <w:rtl/>
              </w:rPr>
              <w:t>שר הפנים</w:t>
            </w:r>
            <w:r>
              <w:rPr>
                <w:rFonts w:hint="cs"/>
                <w:rtl/>
              </w:rPr>
              <w:t xml:space="preserve">, באישור ועדת הפנים והגנת הסביבה של הכנסת, </w:t>
            </w:r>
            <w:r w:rsidR="00BF36CC">
              <w:rPr>
                <w:rFonts w:hint="cs"/>
                <w:rtl/>
              </w:rPr>
              <w:t xml:space="preserve">יקבע </w:t>
            </w:r>
            <w:r>
              <w:rPr>
                <w:rFonts w:hint="cs"/>
                <w:rtl/>
              </w:rPr>
              <w:t>את גובה התקציב אשר יוקצה מקופת הרשות המקומית לחברי מועצת הרשות שאינם חברים בסיעות הקואליציה."</w:t>
            </w:r>
          </w:p>
        </w:tc>
      </w:tr>
      <w:tr w:rsidR="00B42A30" w14:paraId="3676C004" w14:textId="77777777" w:rsidTr="00F77AD9">
        <w:trPr>
          <w:gridAfter w:val="1"/>
          <w:wAfter w:w="7" w:type="dxa"/>
          <w:cantSplit/>
        </w:trPr>
        <w:tc>
          <w:tcPr>
            <w:tcW w:w="1870" w:type="dxa"/>
          </w:tcPr>
          <w:p w14:paraId="514EE30E" w14:textId="321A2A16" w:rsidR="004435B6" w:rsidRDefault="004435B6">
            <w:pPr>
              <w:pStyle w:val="TableSideHeading"/>
            </w:pPr>
            <w:r>
              <w:rPr>
                <w:rFonts w:hint="cs"/>
                <w:rtl/>
              </w:rPr>
              <w:t>תקנות ראשונות</w:t>
            </w:r>
          </w:p>
        </w:tc>
        <w:tc>
          <w:tcPr>
            <w:tcW w:w="624" w:type="dxa"/>
          </w:tcPr>
          <w:p w14:paraId="5A697F21" w14:textId="2FDF07F0" w:rsidR="004435B6" w:rsidRDefault="004435B6">
            <w:pPr>
              <w:pStyle w:val="TableText"/>
            </w:pPr>
            <w:r>
              <w:rPr>
                <w:rFonts w:hint="cs"/>
                <w:rtl/>
              </w:rPr>
              <w:t>4.</w:t>
            </w:r>
          </w:p>
        </w:tc>
        <w:tc>
          <w:tcPr>
            <w:tcW w:w="7139" w:type="dxa"/>
            <w:gridSpan w:val="5"/>
          </w:tcPr>
          <w:p w14:paraId="1C3EF62C" w14:textId="4A46327A" w:rsidR="004435B6" w:rsidRPr="00C34DE2" w:rsidRDefault="004435B6" w:rsidP="00F77AD9">
            <w:pPr>
              <w:pStyle w:val="TableBlock"/>
            </w:pPr>
            <w:r>
              <w:rPr>
                <w:rFonts w:hint="cs"/>
                <w:rtl/>
              </w:rPr>
              <w:t>תקנות ראשונות לפי סעיף 5ב לחוק הרשויות המקומיות (ייעוץ משפטי), התשל"ו</w:t>
            </w:r>
            <w:r>
              <w:rPr>
                <w:rtl/>
              </w:rPr>
              <w:t>–</w:t>
            </w:r>
            <w:r>
              <w:rPr>
                <w:rFonts w:hint="cs"/>
                <w:rtl/>
              </w:rPr>
              <w:t>1975</w:t>
            </w:r>
            <w:r w:rsidR="00DB1190">
              <w:rPr>
                <w:rFonts w:hint="cs"/>
                <w:rtl/>
              </w:rPr>
              <w:t xml:space="preserve">, כנוסחו בסעיף 3 </w:t>
            </w:r>
            <w:r>
              <w:rPr>
                <w:rFonts w:hint="cs"/>
                <w:rtl/>
              </w:rPr>
              <w:t xml:space="preserve">לחוק זה, יובאו לאישור ועדת הפנים והגנת הסביבה של הכנסת בתוך שלושה חודשים מיום פרסומו של חוק זה. </w:t>
            </w:r>
          </w:p>
        </w:tc>
      </w:tr>
    </w:tbl>
    <w:p w14:paraId="4394B011" w14:textId="77777777" w:rsidR="00A21E9D" w:rsidRDefault="00A21E9D" w:rsidP="00F77AD9">
      <w:pPr>
        <w:pStyle w:val="HeadDivreiHesber"/>
        <w:keepLines/>
        <w:tabs>
          <w:tab w:val="left" w:pos="624"/>
          <w:tab w:val="left" w:pos="1247"/>
        </w:tabs>
        <w:spacing w:before="0" w:after="0"/>
        <w:jc w:val="both"/>
        <w:rPr>
          <w:rtl/>
        </w:rPr>
      </w:pPr>
    </w:p>
    <w:p w14:paraId="79395482" w14:textId="77777777" w:rsidR="00F51E6F" w:rsidRDefault="00F51E6F" w:rsidP="00F77AD9">
      <w:pPr>
        <w:pStyle w:val="HeadDivreiHesber"/>
        <w:keepLines/>
        <w:tabs>
          <w:tab w:val="left" w:pos="624"/>
          <w:tab w:val="left" w:pos="1247"/>
        </w:tabs>
        <w:spacing w:before="0" w:after="0"/>
        <w:rPr>
          <w:rtl/>
        </w:rPr>
      </w:pPr>
      <w:r w:rsidRPr="0027450A">
        <w:rPr>
          <w:rFonts w:hint="cs"/>
          <w:rtl/>
        </w:rPr>
        <w:t>דברי הסבר</w:t>
      </w:r>
    </w:p>
    <w:p w14:paraId="5CF74287" w14:textId="77777777" w:rsidR="00DA49A9" w:rsidRPr="00F77AD9" w:rsidRDefault="00DA49A9" w:rsidP="00F77AD9">
      <w:pPr>
        <w:pStyle w:val="Hesber"/>
      </w:pPr>
      <w:r w:rsidRPr="00F77AD9">
        <w:rPr>
          <w:rtl/>
        </w:rPr>
        <w:t xml:space="preserve">חברי המועצה ברשויות המקומיות מהווים דרג נבחר אשר מייצג את כלל התושבים ברשות ונהנים מהיכרות טובה עם אתגרי הרשות וצרכי התושבים. בדומה לחברי הכנסת בשלטון המרכזי, תפקיד חברי המועצה, ובמיוחד חברי האופוזיציה, הינו לבקר, להצביע על שגיאות או מחדלים של ראש הרשות ושל מנגנוני הרשות ולהגביר את הייצוגיות בקבלת ההחלטות. </w:t>
      </w:r>
    </w:p>
    <w:p w14:paraId="135748C0" w14:textId="1946CD8F" w:rsidR="00DA49A9" w:rsidRPr="00F77AD9" w:rsidRDefault="00DA49A9" w:rsidP="00F77AD9">
      <w:pPr>
        <w:pStyle w:val="Hesber"/>
        <w:rPr>
          <w:rtl/>
        </w:rPr>
      </w:pPr>
      <w:r w:rsidRPr="00F77AD9">
        <w:rPr>
          <w:rtl/>
        </w:rPr>
        <w:t>אך בשונה מהשלטון המרכזי, בו מתקיימת מערכת מורכבת מאוד של איזונים ובלמים וחברי הכנסת משמשים כגורם מפקח, לחברי המועצה ישנם כלים מועטים לביצוע תפקידם. מטרת הצעת חוק זו הינה לחזק את מעמדם של חברי המועצה ולהרחיב את ארגז הכלים העומד לרשותם</w:t>
      </w:r>
    </w:p>
    <w:p w14:paraId="276C0473" w14:textId="77777777" w:rsidR="00F51E6F" w:rsidRPr="007910C0" w:rsidRDefault="00F51E6F" w:rsidP="00F77AD9">
      <w:pPr>
        <w:pStyle w:val="Hesber"/>
        <w:rPr>
          <w:rtl/>
        </w:rPr>
      </w:pPr>
      <w:r w:rsidRPr="007910C0">
        <w:rPr>
          <w:rFonts w:hint="eastAsia"/>
          <w:rtl/>
        </w:rPr>
        <w:t>סעיף</w:t>
      </w:r>
      <w:r w:rsidRPr="007910C0">
        <w:rPr>
          <w:rtl/>
        </w:rPr>
        <w:t xml:space="preserve"> 1 </w:t>
      </w:r>
    </w:p>
    <w:p w14:paraId="23606556" w14:textId="015B5085" w:rsidR="00DE6115" w:rsidRPr="007910C0" w:rsidRDefault="00DE6115" w:rsidP="00DE6115">
      <w:pPr>
        <w:pStyle w:val="Hesber"/>
        <w:rPr>
          <w:rtl/>
        </w:rPr>
      </w:pPr>
      <w:r w:rsidRPr="007910C0">
        <w:rPr>
          <w:rtl/>
        </w:rPr>
        <w:t xml:space="preserve">מוצע להרחיב את זכות העיון המוקנית לחבר מועצה כך שתעוגן בחוק זכות העיון של חבר המועצה גם במסמכי תאגיד עירוני. זכות העיון במסמכי העירייה הנתונה לחבר מועצה לפי סעיף 140א לפקודת העיריות (להלן – הפקודה) היא כלי חשוב המסייע לחבר המועצה למלא את תפקידו. רשויות מקומיות פועלות בחלק מהתחומים באמצעות תאגידים עירוניים המשמשים כזרועה הארוכה של הרשות המקומית ומסייעים לה למלא את תפקידיה. </w:t>
      </w:r>
    </w:p>
    <w:p w14:paraId="30EDA9BA" w14:textId="6A36F714" w:rsidR="00DE6115" w:rsidRPr="007910C0" w:rsidRDefault="00DE6115" w:rsidP="007910C0">
      <w:pPr>
        <w:pStyle w:val="Hesber"/>
        <w:rPr>
          <w:rtl/>
        </w:rPr>
      </w:pPr>
      <w:r w:rsidRPr="007910C0">
        <w:rPr>
          <w:rtl/>
        </w:rPr>
        <w:t>על מנת לקדם את יכולתו של חבר המועצה למלא את תפקידו ולסייע בפיקוח ובקרה על התנהלות הרשות המקומית גם כאשר היא מבצעת את תפקידיה באמצעות תאגיד עירוני, מוצע לעגן בחוק את זכות העיון של חבר המועצה גם במסמכי תאגיד עירוני. בנוסף, מוצע להגדיר את הממונה על חופש המידע ברשות המקומית, כגורם המוסמך מטעם ראש הרשות על המצאת המידע. הממונה על חופש המידע ברשות הינו גורם מוסמך ובעל כישורים לאיסוף מידע מעובדי הרשות והוא זכאי לתוספת שכר על תפקיד זה. לפיכך, מינויו עשוי לייעל את הליך קבלת המסמכים ולאפשר לחברי המועצה לבצע את עבודתם ביעילות.</w:t>
      </w:r>
    </w:p>
    <w:p w14:paraId="0585FD07" w14:textId="080701BE" w:rsidR="00DE6115" w:rsidRPr="007910C0" w:rsidRDefault="00DE6115" w:rsidP="00DE6115">
      <w:pPr>
        <w:pStyle w:val="Hesber"/>
        <w:rPr>
          <w:rtl/>
        </w:rPr>
      </w:pPr>
      <w:r w:rsidRPr="007910C0">
        <w:rPr>
          <w:rFonts w:hint="cs"/>
          <w:rtl/>
        </w:rPr>
        <w:t xml:space="preserve">יתר על כן, </w:t>
      </w:r>
      <w:r w:rsidRPr="007910C0">
        <w:rPr>
          <w:rtl/>
        </w:rPr>
        <w:t xml:space="preserve">בעוד </w:t>
      </w:r>
      <w:r w:rsidRPr="007910C0">
        <w:rPr>
          <w:rFonts w:hint="cs"/>
          <w:rtl/>
        </w:rPr>
        <w:t>ש</w:t>
      </w:r>
      <w:r w:rsidRPr="007910C0">
        <w:rPr>
          <w:rtl/>
        </w:rPr>
        <w:t xml:space="preserve">ראש הרשות משמש כיו"ר הקואליציה ונהנה ממשאבים רחבים וממשכורת, חברי המועצה שאינם משתייכים לקואליציה ממשיכים לפעול ללא תגמול ומתקשים בפיקוח על פעילות הרשות המקומית. בכדי למנוע את שחיקת יכולת הבקרה של חברי האופוזיציה, מוצע לעגן את מעמדו של יו"ר האופוזיציה ולהעניק לו כלים שיאפשרו הבעת הסתייגויות מפעילות הרשות והבעת ביקורת. כמו כן, מוצע לספק ליו"ר האופוזיציה לשכה לקבלת קהל ושירותי מזכירות, אשר ישמשו גם את שאר חברי האופוזיציה.  </w:t>
      </w:r>
    </w:p>
    <w:p w14:paraId="4F837849" w14:textId="4A1D055F" w:rsidR="00E12FF0" w:rsidRPr="007910C0" w:rsidRDefault="00A83483" w:rsidP="007910C0">
      <w:pPr>
        <w:pStyle w:val="Hesber"/>
        <w:rPr>
          <w:rtl/>
        </w:rPr>
      </w:pPr>
      <w:r w:rsidRPr="007910C0">
        <w:rPr>
          <w:rFonts w:hint="cs"/>
          <w:rtl/>
        </w:rPr>
        <w:t xml:space="preserve">בנוסף, </w:t>
      </w:r>
      <w:r w:rsidR="00044257" w:rsidRPr="007910C0">
        <w:rPr>
          <w:rtl/>
        </w:rPr>
        <w:t>בדומה להגבלה המוטלת על שעות כינוס ישיבות המועצה, מוצע להגביל את שעות התכנסות ועדות החובה באופן שיאפשר לחברי מועצה העובדים במהלך שעות היום להשתתף בישיבה. מטרת סעיף זה הינה להבטיח כי חברי המועצה יוכלו להשתתף בישיבות אלו, אשר יתקיימו בשעות אחר הצהריים או בשעה המוסכמת על חברי הועדה.</w:t>
      </w:r>
    </w:p>
    <w:p w14:paraId="1AB9C6A9" w14:textId="77777777" w:rsidR="00F51E6F" w:rsidRPr="007910C0" w:rsidRDefault="00F51E6F" w:rsidP="00F77AD9">
      <w:pPr>
        <w:pStyle w:val="Hesber"/>
        <w:rPr>
          <w:rtl/>
        </w:rPr>
      </w:pPr>
      <w:r w:rsidRPr="007910C0">
        <w:rPr>
          <w:rFonts w:hint="eastAsia"/>
          <w:rtl/>
        </w:rPr>
        <w:t>סעיף</w:t>
      </w:r>
      <w:r w:rsidRPr="007910C0">
        <w:rPr>
          <w:rtl/>
        </w:rPr>
        <w:t xml:space="preserve"> 2</w:t>
      </w:r>
    </w:p>
    <w:p w14:paraId="2C822FF6" w14:textId="2177ABDE" w:rsidR="00DE6115" w:rsidRPr="007910C0" w:rsidRDefault="00DE6115" w:rsidP="00F77AD9">
      <w:pPr>
        <w:pStyle w:val="Hesber"/>
        <w:rPr>
          <w:rtl/>
        </w:rPr>
      </w:pPr>
      <w:r w:rsidRPr="007910C0">
        <w:rPr>
          <w:rtl/>
        </w:rPr>
        <w:t>במסגרת סעיף זה מוצע לתקן תיקון עקיף את פקודת המועצות המקומיות לשם החלת הוראות החוק.</w:t>
      </w:r>
    </w:p>
    <w:p w14:paraId="6EE1CAA1" w14:textId="77777777" w:rsidR="00F51E6F" w:rsidRPr="007910C0" w:rsidRDefault="00F51E6F" w:rsidP="00F77AD9">
      <w:pPr>
        <w:pStyle w:val="Hesber"/>
        <w:rPr>
          <w:rtl/>
        </w:rPr>
      </w:pPr>
      <w:r w:rsidRPr="007910C0">
        <w:rPr>
          <w:rFonts w:hint="eastAsia"/>
          <w:rtl/>
        </w:rPr>
        <w:t>סעיף</w:t>
      </w:r>
      <w:r w:rsidRPr="007910C0">
        <w:rPr>
          <w:rtl/>
        </w:rPr>
        <w:t xml:space="preserve"> 3</w:t>
      </w:r>
    </w:p>
    <w:p w14:paraId="77D00308" w14:textId="42BC6B2B" w:rsidR="00540D18" w:rsidRPr="007910C0" w:rsidRDefault="00540D18" w:rsidP="00F77AD9">
      <w:pPr>
        <w:pStyle w:val="Hesber"/>
        <w:rPr>
          <w:rtl/>
        </w:rPr>
      </w:pPr>
      <w:r w:rsidRPr="007910C0">
        <w:rPr>
          <w:rtl/>
        </w:rPr>
        <w:t>ראש הרשות המקומית נהנה מכוח רב אשר בא לידי ביטוי בשלל מינויים, וביניהם היועץ המשפטי לרשות. שימוש חברי מועצה ביועץ המשפטי לצורך ערעור על החלטות הרשות נתקל בקשיים הנובעים בין היתר מניגודי עניינים וממחויבותו הכפולה של היועץ המשפטי. לאור זאת, מוצע לאפשר לחברי המועצה להיעזר ביעוץ משפטי חיצוני ובלתי-תלוי.</w:t>
      </w:r>
    </w:p>
    <w:p w14:paraId="6D3BA69B" w14:textId="77777777" w:rsidR="00F51E6F" w:rsidRPr="007910C0" w:rsidRDefault="00F51E6F" w:rsidP="00F77AD9">
      <w:pPr>
        <w:pStyle w:val="Hesber"/>
        <w:rPr>
          <w:rtl/>
        </w:rPr>
      </w:pPr>
      <w:r w:rsidRPr="007910C0">
        <w:rPr>
          <w:rFonts w:hint="eastAsia"/>
          <w:rtl/>
        </w:rPr>
        <w:t>סעיף</w:t>
      </w:r>
      <w:r w:rsidRPr="007910C0">
        <w:rPr>
          <w:rtl/>
        </w:rPr>
        <w:t xml:space="preserve"> 4</w:t>
      </w:r>
    </w:p>
    <w:p w14:paraId="48CAEDD1" w14:textId="12D8CF5C" w:rsidR="00044257" w:rsidRPr="00F77AD9" w:rsidRDefault="00044257" w:rsidP="00F77AD9">
      <w:pPr>
        <w:pStyle w:val="Hesber"/>
        <w:rPr>
          <w:rtl/>
        </w:rPr>
      </w:pPr>
      <w:r w:rsidRPr="007910C0">
        <w:rPr>
          <w:rFonts w:hint="cs"/>
          <w:rtl/>
        </w:rPr>
        <w:t xml:space="preserve">התקנת תקנות ראשונות מכח </w:t>
      </w:r>
      <w:r w:rsidR="00CB4F9A" w:rsidRPr="007910C0">
        <w:rPr>
          <w:rFonts w:hint="cs"/>
          <w:rtl/>
        </w:rPr>
        <w:t xml:space="preserve">סעיף 5ב לחוק הרשויות המקומיות יובאו לאישור ועדת הפנים והגנת הסביבה בתוך שלושה חודשים מיום פרסומו של החוק. </w:t>
      </w:r>
    </w:p>
    <w:p w14:paraId="4F0C8CAF" w14:textId="77777777" w:rsidR="00E60BA1" w:rsidRDefault="00E60BA1" w:rsidP="00F77AD9">
      <w:pPr>
        <w:pStyle w:val="Hesber"/>
        <w:rPr>
          <w:rtl/>
        </w:rPr>
      </w:pPr>
    </w:p>
    <w:p w14:paraId="2F7DF8C8" w14:textId="77777777" w:rsidR="00E60BA1" w:rsidRDefault="00E60BA1" w:rsidP="00F77AD9">
      <w:pPr>
        <w:pStyle w:val="Hesber"/>
        <w:rPr>
          <w:rtl/>
        </w:rPr>
      </w:pPr>
    </w:p>
    <w:p w14:paraId="67B202FC" w14:textId="77777777" w:rsidR="00E60BA1" w:rsidRPr="00DF242A" w:rsidRDefault="00E60BA1" w:rsidP="00E60BA1">
      <w:pPr>
        <w:pStyle w:val="Hesber"/>
        <w:rPr>
          <w:color w:val="auto"/>
          <w:rtl/>
          <w:lang w:eastAsia="en-US"/>
        </w:rPr>
      </w:pPr>
      <w:r w:rsidRPr="00DF242A">
        <w:rPr>
          <w:color w:val="auto"/>
          <w:rtl/>
          <w:lang w:eastAsia="en-US"/>
        </w:rPr>
        <w:t>---------------------------------</w:t>
      </w:r>
    </w:p>
    <w:p w14:paraId="33296B18" w14:textId="77777777" w:rsidR="00E60BA1" w:rsidRPr="00DF242A" w:rsidRDefault="00E60BA1" w:rsidP="00E60BA1">
      <w:pPr>
        <w:pStyle w:val="Hesber"/>
        <w:rPr>
          <w:color w:val="auto"/>
          <w:rtl/>
          <w:lang w:eastAsia="en-US"/>
        </w:rPr>
      </w:pPr>
      <w:r w:rsidRPr="00DF242A">
        <w:rPr>
          <w:rFonts w:hint="cs"/>
          <w:color w:val="auto"/>
          <w:rtl/>
          <w:lang w:eastAsia="en-US"/>
        </w:rPr>
        <w:t>הוגשה</w:t>
      </w:r>
      <w:r w:rsidRPr="00DF242A">
        <w:rPr>
          <w:color w:val="auto"/>
          <w:rtl/>
          <w:lang w:eastAsia="en-US"/>
        </w:rPr>
        <w:t xml:space="preserve"> </w:t>
      </w:r>
      <w:r w:rsidRPr="00DF242A">
        <w:rPr>
          <w:rFonts w:hint="cs"/>
          <w:color w:val="auto"/>
          <w:rtl/>
          <w:lang w:eastAsia="en-US"/>
        </w:rPr>
        <w:t>ליו</w:t>
      </w:r>
      <w:r w:rsidRPr="00DF242A">
        <w:rPr>
          <w:color w:val="auto"/>
          <w:rtl/>
          <w:lang w:eastAsia="en-US"/>
        </w:rPr>
        <w:t>"</w:t>
      </w:r>
      <w:r w:rsidRPr="00DF242A">
        <w:rPr>
          <w:rFonts w:hint="cs"/>
          <w:color w:val="auto"/>
          <w:rtl/>
          <w:lang w:eastAsia="en-US"/>
        </w:rPr>
        <w:t>ר</w:t>
      </w:r>
      <w:r w:rsidRPr="00DF242A">
        <w:rPr>
          <w:color w:val="auto"/>
          <w:rtl/>
          <w:lang w:eastAsia="en-US"/>
        </w:rPr>
        <w:t xml:space="preserve"> </w:t>
      </w:r>
      <w:r w:rsidRPr="00DF242A">
        <w:rPr>
          <w:rFonts w:hint="cs"/>
          <w:color w:val="auto"/>
          <w:rtl/>
          <w:lang w:eastAsia="en-US"/>
        </w:rPr>
        <w:t>הכנסת</w:t>
      </w:r>
      <w:r w:rsidRPr="00DF242A">
        <w:rPr>
          <w:color w:val="auto"/>
          <w:rtl/>
          <w:lang w:eastAsia="en-US"/>
        </w:rPr>
        <w:t xml:space="preserve"> </w:t>
      </w:r>
      <w:r w:rsidRPr="00DF242A">
        <w:rPr>
          <w:rFonts w:hint="cs"/>
          <w:color w:val="auto"/>
          <w:rtl/>
          <w:lang w:eastAsia="en-US"/>
        </w:rPr>
        <w:t>והסגנים</w:t>
      </w:r>
    </w:p>
    <w:p w14:paraId="56FE409F" w14:textId="77777777" w:rsidR="00E60BA1" w:rsidRPr="00DF242A" w:rsidRDefault="00E60BA1" w:rsidP="00E60BA1">
      <w:pPr>
        <w:pStyle w:val="Hesber"/>
        <w:rPr>
          <w:color w:val="auto"/>
          <w:rtl/>
          <w:lang w:eastAsia="en-US"/>
        </w:rPr>
      </w:pPr>
      <w:r w:rsidRPr="00DF242A">
        <w:rPr>
          <w:rFonts w:hint="cs"/>
          <w:color w:val="auto"/>
          <w:rtl/>
          <w:lang w:eastAsia="en-US"/>
        </w:rPr>
        <w:t>והונחה</w:t>
      </w:r>
      <w:r w:rsidRPr="00DF242A">
        <w:rPr>
          <w:color w:val="auto"/>
          <w:rtl/>
          <w:lang w:eastAsia="en-US"/>
        </w:rPr>
        <w:t xml:space="preserve"> </w:t>
      </w:r>
      <w:r w:rsidRPr="00DF242A">
        <w:rPr>
          <w:rFonts w:hint="cs"/>
          <w:color w:val="auto"/>
          <w:rtl/>
          <w:lang w:eastAsia="en-US"/>
        </w:rPr>
        <w:t>על</w:t>
      </w:r>
      <w:r w:rsidRPr="00DF242A">
        <w:rPr>
          <w:color w:val="auto"/>
          <w:rtl/>
          <w:lang w:eastAsia="en-US"/>
        </w:rPr>
        <w:t xml:space="preserve"> </w:t>
      </w:r>
      <w:r w:rsidRPr="00DF242A">
        <w:rPr>
          <w:rFonts w:hint="cs"/>
          <w:color w:val="auto"/>
          <w:rtl/>
          <w:lang w:eastAsia="en-US"/>
        </w:rPr>
        <w:t>שולחן</w:t>
      </w:r>
      <w:r w:rsidRPr="00DF242A">
        <w:rPr>
          <w:color w:val="auto"/>
          <w:rtl/>
          <w:lang w:eastAsia="en-US"/>
        </w:rPr>
        <w:t xml:space="preserve"> </w:t>
      </w:r>
      <w:r w:rsidRPr="00DF242A">
        <w:rPr>
          <w:rFonts w:hint="cs"/>
          <w:color w:val="auto"/>
          <w:rtl/>
          <w:lang w:eastAsia="en-US"/>
        </w:rPr>
        <w:t>הכנסת</w:t>
      </w:r>
      <w:r w:rsidRPr="00DF242A">
        <w:rPr>
          <w:color w:val="auto"/>
          <w:rtl/>
          <w:lang w:eastAsia="en-US"/>
        </w:rPr>
        <w:t xml:space="preserve"> </w:t>
      </w:r>
      <w:r w:rsidRPr="00DF242A">
        <w:rPr>
          <w:rFonts w:hint="cs"/>
          <w:color w:val="auto"/>
          <w:rtl/>
          <w:lang w:eastAsia="en-US"/>
        </w:rPr>
        <w:t>ביום</w:t>
      </w:r>
    </w:p>
    <w:p w14:paraId="730209D9" w14:textId="77777777" w:rsidR="00E60BA1" w:rsidRPr="000339B5" w:rsidRDefault="00E60BA1" w:rsidP="00E60BA1">
      <w:pPr>
        <w:pStyle w:val="Hesber"/>
      </w:pPr>
      <w:r w:rsidRPr="00DF242A">
        <w:rPr>
          <w:rFonts w:hint="cs"/>
          <w:color w:val="auto"/>
          <w:rtl/>
          <w:lang w:eastAsia="en-US"/>
        </w:rPr>
        <w:t>כ"ה</w:t>
      </w:r>
      <w:r w:rsidRPr="00DF242A">
        <w:rPr>
          <w:color w:val="auto"/>
          <w:rtl/>
          <w:lang w:eastAsia="en-US"/>
        </w:rPr>
        <w:t xml:space="preserve"> ב</w:t>
      </w:r>
      <w:r w:rsidRPr="00DF242A">
        <w:rPr>
          <w:rFonts w:hint="cs"/>
          <w:color w:val="auto"/>
          <w:rtl/>
          <w:lang w:eastAsia="en-US"/>
        </w:rPr>
        <w:t>אלול</w:t>
      </w:r>
      <w:r w:rsidRPr="00DF242A">
        <w:rPr>
          <w:color w:val="auto"/>
          <w:rtl/>
          <w:lang w:eastAsia="en-US"/>
        </w:rPr>
        <w:t xml:space="preserve"> התש"ף </w:t>
      </w:r>
      <w:r w:rsidRPr="00DF242A">
        <w:rPr>
          <w:rFonts w:hint="cs"/>
          <w:color w:val="auto"/>
          <w:rtl/>
          <w:lang w:eastAsia="en-US"/>
        </w:rPr>
        <w:t>–</w:t>
      </w:r>
      <w:r w:rsidRPr="00DF242A">
        <w:rPr>
          <w:color w:val="auto"/>
          <w:rtl/>
          <w:lang w:eastAsia="en-US"/>
        </w:rPr>
        <w:t xml:space="preserve"> </w:t>
      </w:r>
      <w:r w:rsidRPr="00DF242A">
        <w:rPr>
          <w:rFonts w:hint="cs"/>
          <w:color w:val="auto"/>
          <w:rtl/>
          <w:lang w:eastAsia="en-US"/>
        </w:rPr>
        <w:t>14</w:t>
      </w:r>
      <w:r w:rsidRPr="00DF242A">
        <w:rPr>
          <w:color w:val="auto"/>
          <w:rtl/>
          <w:lang w:eastAsia="en-US"/>
        </w:rPr>
        <w:t>.</w:t>
      </w:r>
      <w:r w:rsidRPr="00DF242A">
        <w:rPr>
          <w:rFonts w:hint="cs"/>
          <w:color w:val="auto"/>
          <w:rtl/>
          <w:lang w:eastAsia="en-US"/>
        </w:rPr>
        <w:t>9</w:t>
      </w:r>
      <w:r w:rsidRPr="00DF242A">
        <w:rPr>
          <w:color w:val="auto"/>
          <w:rtl/>
          <w:lang w:eastAsia="en-US"/>
        </w:rPr>
        <w:t>.20</w:t>
      </w:r>
      <w:bookmarkStart w:id="8" w:name="_GoBack"/>
      <w:bookmarkEnd w:id="8"/>
    </w:p>
    <w:p w14:paraId="0EBDD704" w14:textId="77777777" w:rsidR="00E60BA1" w:rsidRPr="00E60BA1" w:rsidRDefault="00E60BA1" w:rsidP="00F77AD9">
      <w:pPr>
        <w:pStyle w:val="Hesber"/>
        <w:rPr>
          <w:rtl/>
        </w:rPr>
      </w:pPr>
    </w:p>
    <w:sectPr w:rsidR="00E60BA1" w:rsidRPr="00E60BA1" w:rsidSect="00F77AD9">
      <w:footerReference w:type="even" r:id="rId11"/>
      <w:footerReference w:type="default" r:id="rId12"/>
      <w:pgSz w:w="11907" w:h="16840" w:code="9"/>
      <w:pgMar w:top="1701" w:right="1134" w:bottom="1417"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DF242A">
      <w:rPr>
        <w:rStyle w:val="ab"/>
        <w:noProof/>
        <w:rtl/>
      </w:rPr>
      <w:t>5</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A50AD7">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59C83411" w14:textId="217126EB" w:rsidR="00FB7815" w:rsidRDefault="00FB7815">
      <w:pPr>
        <w:pStyle w:val="a4"/>
      </w:pPr>
      <w:r>
        <w:rPr>
          <w:rStyle w:val="a6"/>
        </w:rPr>
        <w:footnoteRef/>
      </w:r>
      <w:r>
        <w:rPr>
          <w:rtl/>
        </w:rPr>
        <w:t xml:space="preserve"> </w:t>
      </w:r>
      <w:r>
        <w:rPr>
          <w:rFonts w:hint="cs"/>
          <w:rtl/>
        </w:rPr>
        <w:t xml:space="preserve"> דיני מדינת ישראל, </w:t>
      </w:r>
      <w:r w:rsidR="00542DB3">
        <w:rPr>
          <w:rFonts w:hint="cs"/>
          <w:rtl/>
        </w:rPr>
        <w:t xml:space="preserve">נוסח חדש 8, </w:t>
      </w:r>
      <w:r>
        <w:rPr>
          <w:rFonts w:hint="cs"/>
          <w:rtl/>
        </w:rPr>
        <w:t xml:space="preserve">עמ' 197. </w:t>
      </w:r>
    </w:p>
  </w:footnote>
  <w:footnote w:id="3">
    <w:p w14:paraId="5BD7B39F" w14:textId="316D711F" w:rsidR="00580129" w:rsidRDefault="00580129">
      <w:pPr>
        <w:pStyle w:val="a4"/>
      </w:pPr>
      <w:r>
        <w:rPr>
          <w:rStyle w:val="a6"/>
        </w:rPr>
        <w:footnoteRef/>
      </w:r>
      <w:r>
        <w:rPr>
          <w:rtl/>
        </w:rPr>
        <w:t xml:space="preserve"> </w:t>
      </w:r>
      <w:r>
        <w:rPr>
          <w:rFonts w:hint="cs"/>
          <w:rtl/>
        </w:rPr>
        <w:t xml:space="preserve"> </w:t>
      </w:r>
      <w:r w:rsidR="009F59F3">
        <w:rPr>
          <w:rFonts w:hint="cs"/>
          <w:rtl/>
        </w:rPr>
        <w:t xml:space="preserve">דיני מדינת ישראל, נוסח חדש 9, עמ' 256. </w:t>
      </w:r>
    </w:p>
  </w:footnote>
  <w:footnote w:id="4">
    <w:p w14:paraId="36170DF1" w14:textId="000CA8EA" w:rsidR="00A50AD7" w:rsidRDefault="00A50AD7">
      <w:pPr>
        <w:pStyle w:val="a4"/>
      </w:pPr>
      <w:r>
        <w:rPr>
          <w:rStyle w:val="a6"/>
        </w:rPr>
        <w:footnoteRef/>
      </w:r>
      <w:r>
        <w:rPr>
          <w:rtl/>
        </w:rPr>
        <w:t xml:space="preserve"> </w:t>
      </w:r>
      <w:r w:rsidR="00C63B37">
        <w:rPr>
          <w:rFonts w:hint="cs"/>
          <w:rtl/>
        </w:rPr>
        <w:t xml:space="preserve"> ס"ח התשל"ו, עמ' </w:t>
      </w:r>
      <w:r w:rsidR="00AD0128">
        <w:rPr>
          <w:rFonts w:hint="cs"/>
          <w:rtl/>
        </w:rPr>
        <w:t xml:space="preserve">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0BF8"/>
    <w:multiLevelType w:val="hybridMultilevel"/>
    <w:tmpl w:val="C5D632EA"/>
    <w:lvl w:ilvl="0" w:tplc="0FDCE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906C3"/>
    <w:multiLevelType w:val="hybridMultilevel"/>
    <w:tmpl w:val="A88ECC8E"/>
    <w:lvl w:ilvl="0" w:tplc="0254AA3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10A70"/>
    <w:multiLevelType w:val="hybridMultilevel"/>
    <w:tmpl w:val="63C2A5A2"/>
    <w:lvl w:ilvl="0" w:tplc="3B50E65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A601D"/>
    <w:multiLevelType w:val="hybridMultilevel"/>
    <w:tmpl w:val="875430CC"/>
    <w:lvl w:ilvl="0" w:tplc="16AC47A8">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6172A"/>
    <w:multiLevelType w:val="hybridMultilevel"/>
    <w:tmpl w:val="0E40086E"/>
    <w:lvl w:ilvl="0" w:tplc="9A646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94CE1"/>
    <w:multiLevelType w:val="hybridMultilevel"/>
    <w:tmpl w:val="22F8FB4C"/>
    <w:lvl w:ilvl="0" w:tplc="77AC7E8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45524"/>
    <w:multiLevelType w:val="hybridMultilevel"/>
    <w:tmpl w:val="30B88546"/>
    <w:lvl w:ilvl="0" w:tplc="A8E4A2B2">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C7663"/>
    <w:multiLevelType w:val="hybridMultilevel"/>
    <w:tmpl w:val="2E0E351C"/>
    <w:lvl w:ilvl="0" w:tplc="42648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80227"/>
    <w:multiLevelType w:val="hybridMultilevel"/>
    <w:tmpl w:val="8984FED8"/>
    <w:lvl w:ilvl="0" w:tplc="E9C824F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850D9"/>
    <w:multiLevelType w:val="hybridMultilevel"/>
    <w:tmpl w:val="BED6BED6"/>
    <w:lvl w:ilvl="0" w:tplc="4AC60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736F8"/>
    <w:multiLevelType w:val="hybridMultilevel"/>
    <w:tmpl w:val="9F8C4D3C"/>
    <w:lvl w:ilvl="0" w:tplc="9A646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E541D"/>
    <w:multiLevelType w:val="hybridMultilevel"/>
    <w:tmpl w:val="38B26DB6"/>
    <w:lvl w:ilvl="0" w:tplc="33D25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26A11"/>
    <w:multiLevelType w:val="hybridMultilevel"/>
    <w:tmpl w:val="E752DFA8"/>
    <w:lvl w:ilvl="0" w:tplc="DBC8365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666CE"/>
    <w:multiLevelType w:val="hybridMultilevel"/>
    <w:tmpl w:val="423A05FC"/>
    <w:lvl w:ilvl="0" w:tplc="861C87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E743D"/>
    <w:multiLevelType w:val="hybridMultilevel"/>
    <w:tmpl w:val="FE6AAD30"/>
    <w:lvl w:ilvl="0" w:tplc="ADD438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705BE5"/>
    <w:multiLevelType w:val="hybridMultilevel"/>
    <w:tmpl w:val="59F46412"/>
    <w:lvl w:ilvl="0" w:tplc="7F267C6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16DAE"/>
    <w:multiLevelType w:val="hybridMultilevel"/>
    <w:tmpl w:val="9578B1F4"/>
    <w:lvl w:ilvl="0" w:tplc="B7885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7"/>
  </w:num>
  <w:num w:numId="13">
    <w:abstractNumId w:val="15"/>
  </w:num>
  <w:num w:numId="14">
    <w:abstractNumId w:val="28"/>
  </w:num>
  <w:num w:numId="15">
    <w:abstractNumId w:val="21"/>
  </w:num>
  <w:num w:numId="16">
    <w:abstractNumId w:val="30"/>
  </w:num>
  <w:num w:numId="17">
    <w:abstractNumId w:val="25"/>
  </w:num>
  <w:num w:numId="18">
    <w:abstractNumId w:val="26"/>
  </w:num>
  <w:num w:numId="19">
    <w:abstractNumId w:val="29"/>
  </w:num>
  <w:num w:numId="20">
    <w:abstractNumId w:val="20"/>
  </w:num>
  <w:num w:numId="21">
    <w:abstractNumId w:val="19"/>
  </w:num>
  <w:num w:numId="22">
    <w:abstractNumId w:val="18"/>
  </w:num>
  <w:num w:numId="23">
    <w:abstractNumId w:val="17"/>
  </w:num>
  <w:num w:numId="24">
    <w:abstractNumId w:val="13"/>
  </w:num>
  <w:num w:numId="25">
    <w:abstractNumId w:val="10"/>
  </w:num>
  <w:num w:numId="26">
    <w:abstractNumId w:val="23"/>
  </w:num>
  <w:num w:numId="27">
    <w:abstractNumId w:val="24"/>
  </w:num>
  <w:num w:numId="28">
    <w:abstractNumId w:val="14"/>
  </w:num>
  <w:num w:numId="29">
    <w:abstractNumId w:val="22"/>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40047"/>
    <w:rsid w:val="00044257"/>
    <w:rsid w:val="0005401C"/>
    <w:rsid w:val="00061BD0"/>
    <w:rsid w:val="00063A3E"/>
    <w:rsid w:val="00071944"/>
    <w:rsid w:val="00072CAC"/>
    <w:rsid w:val="00073D42"/>
    <w:rsid w:val="0007681A"/>
    <w:rsid w:val="00080937"/>
    <w:rsid w:val="000A542E"/>
    <w:rsid w:val="000C4A70"/>
    <w:rsid w:val="000D47D1"/>
    <w:rsid w:val="000E5B70"/>
    <w:rsid w:val="00102B6B"/>
    <w:rsid w:val="001052D4"/>
    <w:rsid w:val="0010644B"/>
    <w:rsid w:val="001207F8"/>
    <w:rsid w:val="00121924"/>
    <w:rsid w:val="001279A8"/>
    <w:rsid w:val="00135A72"/>
    <w:rsid w:val="0014195F"/>
    <w:rsid w:val="00146AEB"/>
    <w:rsid w:val="00152609"/>
    <w:rsid w:val="00153E1B"/>
    <w:rsid w:val="001576C3"/>
    <w:rsid w:val="001659A0"/>
    <w:rsid w:val="001A0623"/>
    <w:rsid w:val="001A3247"/>
    <w:rsid w:val="001B5092"/>
    <w:rsid w:val="001C23B0"/>
    <w:rsid w:val="001D67BA"/>
    <w:rsid w:val="001D7AAF"/>
    <w:rsid w:val="001F04B5"/>
    <w:rsid w:val="001F39C6"/>
    <w:rsid w:val="00203A7F"/>
    <w:rsid w:val="0021633A"/>
    <w:rsid w:val="002200A1"/>
    <w:rsid w:val="002362BF"/>
    <w:rsid w:val="00241B97"/>
    <w:rsid w:val="002425D1"/>
    <w:rsid w:val="00246756"/>
    <w:rsid w:val="00251E58"/>
    <w:rsid w:val="0025402D"/>
    <w:rsid w:val="00254605"/>
    <w:rsid w:val="00261180"/>
    <w:rsid w:val="00261838"/>
    <w:rsid w:val="00266D86"/>
    <w:rsid w:val="002728B4"/>
    <w:rsid w:val="0027600C"/>
    <w:rsid w:val="002815A0"/>
    <w:rsid w:val="00292712"/>
    <w:rsid w:val="002A487D"/>
    <w:rsid w:val="002C2E29"/>
    <w:rsid w:val="002C3041"/>
    <w:rsid w:val="002D1EE3"/>
    <w:rsid w:val="002F1D80"/>
    <w:rsid w:val="002F2D76"/>
    <w:rsid w:val="002F7BAD"/>
    <w:rsid w:val="003232A2"/>
    <w:rsid w:val="00325C14"/>
    <w:rsid w:val="00353758"/>
    <w:rsid w:val="0036422C"/>
    <w:rsid w:val="003710F6"/>
    <w:rsid w:val="00383067"/>
    <w:rsid w:val="00386E88"/>
    <w:rsid w:val="00396585"/>
    <w:rsid w:val="003A40EB"/>
    <w:rsid w:val="003C3EDE"/>
    <w:rsid w:val="003D6E38"/>
    <w:rsid w:val="003D74A0"/>
    <w:rsid w:val="004031CA"/>
    <w:rsid w:val="004033D8"/>
    <w:rsid w:val="00403D62"/>
    <w:rsid w:val="00405CA1"/>
    <w:rsid w:val="004073F0"/>
    <w:rsid w:val="00411401"/>
    <w:rsid w:val="00412A7D"/>
    <w:rsid w:val="00412D0E"/>
    <w:rsid w:val="00416B4D"/>
    <w:rsid w:val="00417CFC"/>
    <w:rsid w:val="004327D0"/>
    <w:rsid w:val="004435B6"/>
    <w:rsid w:val="00445AE1"/>
    <w:rsid w:val="00452528"/>
    <w:rsid w:val="0046736C"/>
    <w:rsid w:val="004A06DC"/>
    <w:rsid w:val="004B24ED"/>
    <w:rsid w:val="004B6625"/>
    <w:rsid w:val="004D170C"/>
    <w:rsid w:val="004D2D82"/>
    <w:rsid w:val="004D3876"/>
    <w:rsid w:val="004E4552"/>
    <w:rsid w:val="004E55F6"/>
    <w:rsid w:val="004E6CDF"/>
    <w:rsid w:val="004F0FE8"/>
    <w:rsid w:val="00501C22"/>
    <w:rsid w:val="00507874"/>
    <w:rsid w:val="00520108"/>
    <w:rsid w:val="00521FE0"/>
    <w:rsid w:val="005273E7"/>
    <w:rsid w:val="00540D18"/>
    <w:rsid w:val="00542DB3"/>
    <w:rsid w:val="00552527"/>
    <w:rsid w:val="00553C9D"/>
    <w:rsid w:val="00555733"/>
    <w:rsid w:val="00562A66"/>
    <w:rsid w:val="00580129"/>
    <w:rsid w:val="0058653C"/>
    <w:rsid w:val="005B064E"/>
    <w:rsid w:val="005C5AA0"/>
    <w:rsid w:val="005D51AE"/>
    <w:rsid w:val="00600A1A"/>
    <w:rsid w:val="006033E0"/>
    <w:rsid w:val="00610878"/>
    <w:rsid w:val="0062674B"/>
    <w:rsid w:val="006344A5"/>
    <w:rsid w:val="006363B2"/>
    <w:rsid w:val="00636627"/>
    <w:rsid w:val="0063736E"/>
    <w:rsid w:val="00641202"/>
    <w:rsid w:val="00644940"/>
    <w:rsid w:val="006538FD"/>
    <w:rsid w:val="006818A9"/>
    <w:rsid w:val="00693C52"/>
    <w:rsid w:val="006A2A85"/>
    <w:rsid w:val="006A2D81"/>
    <w:rsid w:val="006B211D"/>
    <w:rsid w:val="006C1D0D"/>
    <w:rsid w:val="006D1BF2"/>
    <w:rsid w:val="006F028F"/>
    <w:rsid w:val="0070601E"/>
    <w:rsid w:val="00712C72"/>
    <w:rsid w:val="00713D88"/>
    <w:rsid w:val="007264BA"/>
    <w:rsid w:val="007345AF"/>
    <w:rsid w:val="00735FE9"/>
    <w:rsid w:val="00763CAA"/>
    <w:rsid w:val="00765F66"/>
    <w:rsid w:val="007706F8"/>
    <w:rsid w:val="00775D06"/>
    <w:rsid w:val="00776D6D"/>
    <w:rsid w:val="0078664F"/>
    <w:rsid w:val="007910C0"/>
    <w:rsid w:val="007A27CE"/>
    <w:rsid w:val="007A2EC8"/>
    <w:rsid w:val="007C3FA6"/>
    <w:rsid w:val="007D585A"/>
    <w:rsid w:val="007D5A12"/>
    <w:rsid w:val="007E59F9"/>
    <w:rsid w:val="00810BCD"/>
    <w:rsid w:val="00812C98"/>
    <w:rsid w:val="00814D92"/>
    <w:rsid w:val="008163A8"/>
    <w:rsid w:val="008204F0"/>
    <w:rsid w:val="008246E4"/>
    <w:rsid w:val="0083181D"/>
    <w:rsid w:val="00843EB2"/>
    <w:rsid w:val="00865572"/>
    <w:rsid w:val="00874BBC"/>
    <w:rsid w:val="00884BD4"/>
    <w:rsid w:val="00892135"/>
    <w:rsid w:val="00895449"/>
    <w:rsid w:val="00896FDD"/>
    <w:rsid w:val="00897879"/>
    <w:rsid w:val="008A1A6A"/>
    <w:rsid w:val="008A34BD"/>
    <w:rsid w:val="008A6870"/>
    <w:rsid w:val="008C2DDC"/>
    <w:rsid w:val="008C5911"/>
    <w:rsid w:val="008C7516"/>
    <w:rsid w:val="008E14CF"/>
    <w:rsid w:val="008E4C76"/>
    <w:rsid w:val="008E6EC7"/>
    <w:rsid w:val="008F0D63"/>
    <w:rsid w:val="008F1308"/>
    <w:rsid w:val="008F2C35"/>
    <w:rsid w:val="008F6665"/>
    <w:rsid w:val="00904591"/>
    <w:rsid w:val="00905E5F"/>
    <w:rsid w:val="00910380"/>
    <w:rsid w:val="0091204F"/>
    <w:rsid w:val="00917D57"/>
    <w:rsid w:val="009203DB"/>
    <w:rsid w:val="00923CD4"/>
    <w:rsid w:val="00930EFE"/>
    <w:rsid w:val="00943386"/>
    <w:rsid w:val="00943F7A"/>
    <w:rsid w:val="009456B6"/>
    <w:rsid w:val="00953285"/>
    <w:rsid w:val="00957589"/>
    <w:rsid w:val="00966D06"/>
    <w:rsid w:val="00966E41"/>
    <w:rsid w:val="00980C2D"/>
    <w:rsid w:val="00982412"/>
    <w:rsid w:val="00983A8D"/>
    <w:rsid w:val="00984238"/>
    <w:rsid w:val="009A0DB8"/>
    <w:rsid w:val="009A5CC6"/>
    <w:rsid w:val="009A7257"/>
    <w:rsid w:val="009B5440"/>
    <w:rsid w:val="009D10BB"/>
    <w:rsid w:val="009D6E0A"/>
    <w:rsid w:val="009E1E33"/>
    <w:rsid w:val="009F59F3"/>
    <w:rsid w:val="00A040C3"/>
    <w:rsid w:val="00A14672"/>
    <w:rsid w:val="00A15AF9"/>
    <w:rsid w:val="00A16D3D"/>
    <w:rsid w:val="00A214EC"/>
    <w:rsid w:val="00A21E9D"/>
    <w:rsid w:val="00A244DC"/>
    <w:rsid w:val="00A26BD6"/>
    <w:rsid w:val="00A443CF"/>
    <w:rsid w:val="00A50AD7"/>
    <w:rsid w:val="00A60C44"/>
    <w:rsid w:val="00A61E5F"/>
    <w:rsid w:val="00A65659"/>
    <w:rsid w:val="00A6611D"/>
    <w:rsid w:val="00A7484B"/>
    <w:rsid w:val="00A82CB7"/>
    <w:rsid w:val="00A83483"/>
    <w:rsid w:val="00A942C1"/>
    <w:rsid w:val="00AA107F"/>
    <w:rsid w:val="00AA2F03"/>
    <w:rsid w:val="00AC36F7"/>
    <w:rsid w:val="00AC63A4"/>
    <w:rsid w:val="00AD0128"/>
    <w:rsid w:val="00AD0734"/>
    <w:rsid w:val="00AD239E"/>
    <w:rsid w:val="00B10265"/>
    <w:rsid w:val="00B16A99"/>
    <w:rsid w:val="00B1760A"/>
    <w:rsid w:val="00B21211"/>
    <w:rsid w:val="00B35784"/>
    <w:rsid w:val="00B41F1E"/>
    <w:rsid w:val="00B42A30"/>
    <w:rsid w:val="00B67AE0"/>
    <w:rsid w:val="00B733A7"/>
    <w:rsid w:val="00B75C91"/>
    <w:rsid w:val="00B975AD"/>
    <w:rsid w:val="00BC11C1"/>
    <w:rsid w:val="00BC45FB"/>
    <w:rsid w:val="00BF148D"/>
    <w:rsid w:val="00BF36CC"/>
    <w:rsid w:val="00BF5B4E"/>
    <w:rsid w:val="00C006E2"/>
    <w:rsid w:val="00C23B1A"/>
    <w:rsid w:val="00C310EB"/>
    <w:rsid w:val="00C32021"/>
    <w:rsid w:val="00C40AB4"/>
    <w:rsid w:val="00C63B37"/>
    <w:rsid w:val="00C9176A"/>
    <w:rsid w:val="00CA509B"/>
    <w:rsid w:val="00CB4F9A"/>
    <w:rsid w:val="00CD2F6C"/>
    <w:rsid w:val="00CD6F0F"/>
    <w:rsid w:val="00CE79A4"/>
    <w:rsid w:val="00CF1AA2"/>
    <w:rsid w:val="00D007C4"/>
    <w:rsid w:val="00D11356"/>
    <w:rsid w:val="00D142D3"/>
    <w:rsid w:val="00D17774"/>
    <w:rsid w:val="00D20FA3"/>
    <w:rsid w:val="00D5211E"/>
    <w:rsid w:val="00D63620"/>
    <w:rsid w:val="00D74E02"/>
    <w:rsid w:val="00D8410D"/>
    <w:rsid w:val="00D867D7"/>
    <w:rsid w:val="00D9080B"/>
    <w:rsid w:val="00DA49A9"/>
    <w:rsid w:val="00DB1190"/>
    <w:rsid w:val="00DB7060"/>
    <w:rsid w:val="00DC48C7"/>
    <w:rsid w:val="00DE3153"/>
    <w:rsid w:val="00DE6115"/>
    <w:rsid w:val="00DF242A"/>
    <w:rsid w:val="00E06736"/>
    <w:rsid w:val="00E12FF0"/>
    <w:rsid w:val="00E13C27"/>
    <w:rsid w:val="00E33BBD"/>
    <w:rsid w:val="00E35C9F"/>
    <w:rsid w:val="00E374F2"/>
    <w:rsid w:val="00E45103"/>
    <w:rsid w:val="00E55A60"/>
    <w:rsid w:val="00E56F0C"/>
    <w:rsid w:val="00E60BA1"/>
    <w:rsid w:val="00E62778"/>
    <w:rsid w:val="00E635A2"/>
    <w:rsid w:val="00E63D38"/>
    <w:rsid w:val="00E665B9"/>
    <w:rsid w:val="00E7156F"/>
    <w:rsid w:val="00E7438F"/>
    <w:rsid w:val="00EA01E6"/>
    <w:rsid w:val="00EA3DE8"/>
    <w:rsid w:val="00EA758F"/>
    <w:rsid w:val="00EB394D"/>
    <w:rsid w:val="00ED2708"/>
    <w:rsid w:val="00ED4A6F"/>
    <w:rsid w:val="00ED4B6A"/>
    <w:rsid w:val="00EF3A3A"/>
    <w:rsid w:val="00F437F6"/>
    <w:rsid w:val="00F51E6F"/>
    <w:rsid w:val="00F628D6"/>
    <w:rsid w:val="00F646B9"/>
    <w:rsid w:val="00F67051"/>
    <w:rsid w:val="00F77AD9"/>
    <w:rsid w:val="00F8237C"/>
    <w:rsid w:val="00F86A1E"/>
    <w:rsid w:val="00F94A61"/>
    <w:rsid w:val="00FA2F82"/>
    <w:rsid w:val="00FA5E88"/>
    <w:rsid w:val="00FB67CC"/>
    <w:rsid w:val="00FB7815"/>
    <w:rsid w:val="00FC6EF7"/>
    <w:rsid w:val="00FC77C5"/>
    <w:rsid w:val="00FE2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230FD771-0F0E-4088-841A-CC7A6F8A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locked/>
    <w:rsid w:val="00F51E6F"/>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307836">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3D6E9C754E1F7C4C891E9EE2E0AF8150" ma:contentTypeVersion="" ma:contentTypeDescription="צור מסמך חדש." ma:contentTypeScope="" ma:versionID="9191f7e1bb085ece6465964dba42d442">
  <xsd:schema xmlns:xsd="http://www.w3.org/2001/XMLSchema" xmlns:xs="http://www.w3.org/2001/XMLSchema" xmlns:p="http://schemas.microsoft.com/office/2006/metadata/properties" xmlns:ns2="290d5b49-c690-4c6f-bbb9-1e50dab33eee" targetNamespace="http://schemas.microsoft.com/office/2006/metadata/properties" ma:root="true" ma:fieldsID="fb4ed97e084053ed652bcef757b4ab45"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AD1B624B-304C-425F-99D8-97603FCD1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488C97C-CC21-473E-A831-48E2FD2D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5</Pages>
  <Words>1063</Words>
  <Characters>5316</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150</cp:revision>
  <cp:lastPrinted>2020-09-09T10:56:00Z</cp:lastPrinted>
  <dcterms:created xsi:type="dcterms:W3CDTF">2015-04-20T09:58:00Z</dcterms:created>
  <dcterms:modified xsi:type="dcterms:W3CDTF">2020-09-09T10:56:00Z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0x0101003D6E9C754E1F7C4C891E9EE2E0AF8150</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2144491</vt:r8>
  </property>
</Properties>
</file>