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2144550</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ושלוש</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אריאל קלנר</w:t>
      </w:r>
      <w:bookmarkEnd w:id="3"/>
    </w:p>
    <w:p w14:paraId="7F6961AA" w14:textId="39F9D96B" w:rsidR="00E13C27" w:rsidRPr="00CF1AA2" w:rsidRDefault="007D585A" w:rsidP="0036422C">
      <w:pPr>
        <w:pStyle w:val="David"/>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168A9377" w14:textId="7277F2BF" w:rsidR="00F044A6" w:rsidRPr="00F044A6" w:rsidRDefault="00F044A6" w:rsidP="00415E4C">
      <w:pPr>
        <w:pStyle w:val="David"/>
        <w:spacing w:line="240" w:lineRule="auto"/>
        <w:ind w:left="720" w:firstLine="720"/>
        <w:rPr>
          <w:rFonts w:hint="cs"/>
          <w:rtl/>
        </w:rPr>
      </w:pPr>
      <w:r w:rsidRPr="00F044A6">
        <w:tab/>
      </w:r>
      <w:r w:rsidRPr="00F044A6">
        <w:tab/>
      </w:r>
      <w:r w:rsidRPr="00F044A6">
        <w:tab/>
      </w:r>
      <w:r w:rsidRPr="00F044A6">
        <w:tab/>
      </w:r>
      <w:r w:rsidRPr="00F044A6">
        <w:tab/>
      </w:r>
      <w:r w:rsidRPr="00F044A6">
        <w:tab/>
      </w:r>
      <w:r w:rsidRPr="00F044A6">
        <w:tab/>
      </w:r>
      <w:r w:rsidRPr="00F044A6">
        <w:rPr>
          <w:rFonts w:hint="cs"/>
          <w:rtl/>
        </w:rPr>
        <w:t>פ/2025/23</w:t>
      </w:r>
    </w:p>
    <w:p w14:paraId="5D47F52D" w14:textId="77777777" w:rsidR="00F044A6" w:rsidRDefault="00F044A6" w:rsidP="00415E4C">
      <w:pPr>
        <w:pStyle w:val="David"/>
        <w:spacing w:line="240" w:lineRule="auto"/>
        <w:ind w:left="720" w:firstLine="720"/>
        <w:rPr>
          <w:b/>
          <w:bCs/>
        </w:rPr>
      </w:pPr>
    </w:p>
    <w:p w14:paraId="02F01807" w14:textId="15684782" w:rsidR="00415E4C" w:rsidRDefault="00415E4C" w:rsidP="00415E4C">
      <w:pPr>
        <w:pStyle w:val="David"/>
        <w:spacing w:line="240" w:lineRule="auto"/>
        <w:ind w:left="720" w:firstLine="720"/>
        <w:rPr>
          <w:b/>
          <w:bCs/>
          <w:rtl/>
        </w:rPr>
      </w:pPr>
      <w:r w:rsidRPr="00415E4C">
        <w:rPr>
          <w:rFonts w:hint="cs"/>
          <w:b/>
          <w:bCs/>
          <w:rtl/>
        </w:rPr>
        <w:t xml:space="preserve">הצעת חוק </w:t>
      </w:r>
      <w:r w:rsidR="00182F0A">
        <w:rPr>
          <w:rFonts w:hint="cs"/>
          <w:b/>
          <w:bCs/>
          <w:rtl/>
        </w:rPr>
        <w:t xml:space="preserve">לתיקון </w:t>
      </w:r>
      <w:r w:rsidRPr="00415E4C">
        <w:rPr>
          <w:rFonts w:hint="cs"/>
          <w:b/>
          <w:bCs/>
          <w:rtl/>
        </w:rPr>
        <w:t>פקודת המשטרה (רישוי הפגנות), התש"ף–2020</w:t>
      </w:r>
    </w:p>
    <w:p w14:paraId="470B5D08" w14:textId="1BB281CC" w:rsidR="00FD61A1" w:rsidRDefault="00FD61A1" w:rsidP="00C711B3">
      <w:pPr>
        <w:pStyle w:val="David"/>
        <w:spacing w:line="240" w:lineRule="auto"/>
        <w:rPr>
          <w:b/>
          <w:bCs/>
          <w:rtl/>
        </w:rPr>
      </w:pPr>
    </w:p>
    <w:tbl>
      <w:tblPr>
        <w:bidiVisual/>
        <w:tblW w:w="9636" w:type="dxa"/>
        <w:tblLayout w:type="fixed"/>
        <w:tblCellMar>
          <w:top w:w="57" w:type="dxa"/>
          <w:left w:w="0" w:type="dxa"/>
          <w:bottom w:w="57" w:type="dxa"/>
          <w:right w:w="0" w:type="dxa"/>
        </w:tblCellMar>
        <w:tblLook w:val="01E0" w:firstRow="1" w:lastRow="1" w:firstColumn="1" w:lastColumn="1" w:noHBand="0" w:noVBand="0"/>
      </w:tblPr>
      <w:tblGrid>
        <w:gridCol w:w="1869"/>
        <w:gridCol w:w="623"/>
        <w:gridCol w:w="624"/>
        <w:gridCol w:w="624"/>
        <w:gridCol w:w="624"/>
        <w:gridCol w:w="624"/>
        <w:gridCol w:w="624"/>
        <w:gridCol w:w="4024"/>
      </w:tblGrid>
      <w:tr w:rsidR="00C711B3" w14:paraId="2F258C59" w14:textId="77777777" w:rsidTr="002D61E3">
        <w:trPr>
          <w:cantSplit/>
        </w:trPr>
        <w:tc>
          <w:tcPr>
            <w:tcW w:w="1869" w:type="dxa"/>
          </w:tcPr>
          <w:p w14:paraId="219FC477" w14:textId="77777777" w:rsidR="00C711B3" w:rsidRPr="00982839" w:rsidRDefault="00C711B3" w:rsidP="002D61E3">
            <w:pPr>
              <w:pStyle w:val="TableSideHeading"/>
              <w:outlineLvl w:val="9"/>
            </w:pPr>
            <w:r>
              <w:rPr>
                <w:rtl/>
              </w:rPr>
              <w:t>תיקון כותרת פרק שישי</w:t>
            </w:r>
          </w:p>
        </w:tc>
        <w:tc>
          <w:tcPr>
            <w:tcW w:w="623" w:type="dxa"/>
          </w:tcPr>
          <w:p w14:paraId="0940BDD5" w14:textId="77777777" w:rsidR="00C711B3" w:rsidRPr="006C5B98" w:rsidRDefault="00C711B3" w:rsidP="002D61E3">
            <w:pPr>
              <w:pStyle w:val="TableText"/>
              <w:keepLines w:val="0"/>
              <w:rPr>
                <w:rFonts w:ascii="David" w:hAnsi="David"/>
                <w:sz w:val="26"/>
              </w:rPr>
            </w:pPr>
            <w:r>
              <w:rPr>
                <w:rFonts w:hint="cs"/>
                <w:rtl/>
              </w:rPr>
              <w:t>1.</w:t>
            </w:r>
          </w:p>
        </w:tc>
        <w:tc>
          <w:tcPr>
            <w:tcW w:w="7144" w:type="dxa"/>
            <w:gridSpan w:val="6"/>
          </w:tcPr>
          <w:p w14:paraId="13BF5B7D" w14:textId="77777777" w:rsidR="00C711B3" w:rsidRPr="00C34DE2" w:rsidRDefault="00C711B3" w:rsidP="002D61E3">
            <w:pPr>
              <w:pStyle w:val="TableBlock"/>
            </w:pPr>
            <w:r>
              <w:rPr>
                <w:rtl/>
              </w:rPr>
              <w:t xml:space="preserve">בפקודת המשטרה </w:t>
            </w:r>
            <w:r>
              <w:rPr>
                <w:rFonts w:hint="cs"/>
                <w:rtl/>
              </w:rPr>
              <w:t>[</w:t>
            </w:r>
            <w:r>
              <w:rPr>
                <w:rtl/>
              </w:rPr>
              <w:t>נוסח חדש</w:t>
            </w:r>
            <w:r>
              <w:rPr>
                <w:rFonts w:hint="cs"/>
                <w:rtl/>
              </w:rPr>
              <w:t>]</w:t>
            </w:r>
            <w:r>
              <w:rPr>
                <w:rtl/>
              </w:rPr>
              <w:t>, התשל"א</w:t>
            </w:r>
            <w:r>
              <w:rPr>
                <w:rFonts w:hint="cs"/>
                <w:rtl/>
              </w:rPr>
              <w:t>–</w:t>
            </w:r>
            <w:r>
              <w:rPr>
                <w:rtl/>
              </w:rPr>
              <w:t>1971</w:t>
            </w:r>
            <w:r>
              <w:rPr>
                <w:rStyle w:val="a6"/>
                <w:rtl/>
              </w:rPr>
              <w:footnoteReference w:id="2"/>
            </w:r>
            <w:r>
              <w:rPr>
                <w:rtl/>
              </w:rPr>
              <w:t xml:space="preserve"> </w:t>
            </w:r>
            <w:r>
              <w:rPr>
                <w:rFonts w:hint="cs"/>
                <w:rtl/>
              </w:rPr>
              <w:t xml:space="preserve">(להלן </w:t>
            </w:r>
            <w:r>
              <w:rPr>
                <w:rtl/>
              </w:rPr>
              <w:t>–</w:t>
            </w:r>
            <w:r>
              <w:rPr>
                <w:rFonts w:hint="cs"/>
                <w:rtl/>
              </w:rPr>
              <w:t xml:space="preserve"> הפקודה), בכותרת פרק שישי, </w:t>
            </w:r>
            <w:r>
              <w:rPr>
                <w:rtl/>
              </w:rPr>
              <w:t>במקום "התקהלויות, אסיפות ותהלוכות" יבוא "התקהלויות והפגנות</w:t>
            </w:r>
            <w:r>
              <w:rPr>
                <w:rFonts w:hint="cs"/>
                <w:rtl/>
              </w:rPr>
              <w:t>".</w:t>
            </w:r>
          </w:p>
        </w:tc>
      </w:tr>
      <w:tr w:rsidR="00C711B3" w:rsidRPr="002A649A" w14:paraId="28B8C83D" w14:textId="77777777" w:rsidTr="002D61E3">
        <w:trPr>
          <w:cantSplit/>
        </w:trPr>
        <w:tc>
          <w:tcPr>
            <w:tcW w:w="1869" w:type="dxa"/>
          </w:tcPr>
          <w:p w14:paraId="4E86062D" w14:textId="77777777" w:rsidR="00C711B3" w:rsidRDefault="00C711B3" w:rsidP="002D61E3">
            <w:pPr>
              <w:pStyle w:val="TableSideHeading"/>
              <w:outlineLvl w:val="9"/>
              <w:rPr>
                <w:rtl/>
              </w:rPr>
            </w:pPr>
            <w:r>
              <w:rPr>
                <w:rFonts w:hint="cs"/>
                <w:rtl/>
              </w:rPr>
              <w:t>תיקון כותרת סימן ב' לפרק השישי</w:t>
            </w:r>
          </w:p>
        </w:tc>
        <w:tc>
          <w:tcPr>
            <w:tcW w:w="623" w:type="dxa"/>
          </w:tcPr>
          <w:p w14:paraId="06A7D002" w14:textId="77777777" w:rsidR="00C711B3" w:rsidRPr="006C5B98" w:rsidRDefault="00C711B3" w:rsidP="002D61E3">
            <w:pPr>
              <w:pStyle w:val="TableText"/>
              <w:keepLines w:val="0"/>
              <w:rPr>
                <w:rFonts w:ascii="David" w:hAnsi="David"/>
                <w:sz w:val="26"/>
              </w:rPr>
            </w:pPr>
            <w:r>
              <w:rPr>
                <w:rFonts w:hint="cs"/>
                <w:rtl/>
              </w:rPr>
              <w:t>2.</w:t>
            </w:r>
          </w:p>
        </w:tc>
        <w:tc>
          <w:tcPr>
            <w:tcW w:w="7144" w:type="dxa"/>
            <w:gridSpan w:val="6"/>
          </w:tcPr>
          <w:p w14:paraId="6EE3802A" w14:textId="77777777" w:rsidR="00C711B3" w:rsidRDefault="00C711B3" w:rsidP="002D61E3">
            <w:pPr>
              <w:pStyle w:val="TableBlock"/>
              <w:rPr>
                <w:rtl/>
              </w:rPr>
            </w:pPr>
            <w:r>
              <w:rPr>
                <w:rFonts w:hint="cs"/>
                <w:rtl/>
              </w:rPr>
              <w:t>בכותרת סימן ב' בפרק שישי לפקודה, במקום "אסיפות ותהלוכות" יבוא "הפגנות".</w:t>
            </w:r>
          </w:p>
        </w:tc>
      </w:tr>
      <w:tr w:rsidR="00C711B3" w:rsidRPr="002A649A" w14:paraId="55CAB72A" w14:textId="77777777" w:rsidTr="002D61E3">
        <w:trPr>
          <w:cantSplit/>
        </w:trPr>
        <w:tc>
          <w:tcPr>
            <w:tcW w:w="1869" w:type="dxa"/>
          </w:tcPr>
          <w:p w14:paraId="53E6A519" w14:textId="77777777" w:rsidR="00C711B3" w:rsidRDefault="00C711B3" w:rsidP="002D61E3">
            <w:pPr>
              <w:pStyle w:val="TableSideHeading"/>
              <w:outlineLvl w:val="9"/>
              <w:rPr>
                <w:rtl/>
              </w:rPr>
            </w:pPr>
            <w:r>
              <w:rPr>
                <w:rFonts w:hint="cs"/>
                <w:rtl/>
              </w:rPr>
              <w:t xml:space="preserve">תיקון סעיף 83 </w:t>
            </w:r>
          </w:p>
        </w:tc>
        <w:tc>
          <w:tcPr>
            <w:tcW w:w="623" w:type="dxa"/>
          </w:tcPr>
          <w:p w14:paraId="5258A139" w14:textId="77777777" w:rsidR="00C711B3" w:rsidRDefault="00C711B3" w:rsidP="002D61E3">
            <w:pPr>
              <w:pStyle w:val="TableText"/>
              <w:keepLines w:val="0"/>
              <w:rPr>
                <w:rtl/>
              </w:rPr>
            </w:pPr>
            <w:r>
              <w:rPr>
                <w:rFonts w:hint="cs"/>
                <w:rtl/>
              </w:rPr>
              <w:t>3.</w:t>
            </w:r>
          </w:p>
        </w:tc>
        <w:tc>
          <w:tcPr>
            <w:tcW w:w="7144" w:type="dxa"/>
            <w:gridSpan w:val="6"/>
          </w:tcPr>
          <w:p w14:paraId="2D2DEC30" w14:textId="77777777" w:rsidR="00C711B3" w:rsidRDefault="00C711B3" w:rsidP="002D61E3">
            <w:pPr>
              <w:pStyle w:val="TableBlock"/>
              <w:rPr>
                <w:rtl/>
              </w:rPr>
            </w:pPr>
            <w:r>
              <w:rPr>
                <w:rtl/>
              </w:rPr>
              <w:t>בסעיף 83 לפקודה</w:t>
            </w:r>
            <w:r>
              <w:rPr>
                <w:rFonts w:hint="eastAsia"/>
                <w:rtl/>
              </w:rPr>
              <w:t>–</w:t>
            </w:r>
          </w:p>
        </w:tc>
      </w:tr>
      <w:tr w:rsidR="00C711B3" w:rsidRPr="002A649A" w14:paraId="6459B054" w14:textId="77777777" w:rsidTr="002D61E3">
        <w:trPr>
          <w:cantSplit/>
        </w:trPr>
        <w:tc>
          <w:tcPr>
            <w:tcW w:w="1869" w:type="dxa"/>
          </w:tcPr>
          <w:p w14:paraId="5CE1BC45" w14:textId="77777777" w:rsidR="00C711B3" w:rsidRDefault="00C711B3" w:rsidP="002D61E3">
            <w:pPr>
              <w:pStyle w:val="TableSideHeading"/>
              <w:outlineLvl w:val="9"/>
              <w:rPr>
                <w:rtl/>
              </w:rPr>
            </w:pPr>
          </w:p>
        </w:tc>
        <w:tc>
          <w:tcPr>
            <w:tcW w:w="623" w:type="dxa"/>
          </w:tcPr>
          <w:p w14:paraId="5B008020" w14:textId="77777777" w:rsidR="00C711B3" w:rsidRDefault="00C711B3" w:rsidP="002D61E3">
            <w:pPr>
              <w:pStyle w:val="TableText"/>
              <w:keepLines w:val="0"/>
              <w:rPr>
                <w:rtl/>
              </w:rPr>
            </w:pPr>
          </w:p>
        </w:tc>
        <w:tc>
          <w:tcPr>
            <w:tcW w:w="7144" w:type="dxa"/>
            <w:gridSpan w:val="6"/>
          </w:tcPr>
          <w:p w14:paraId="3D403C64" w14:textId="77777777" w:rsidR="00C711B3" w:rsidRDefault="00C711B3" w:rsidP="002D61E3">
            <w:pPr>
              <w:pStyle w:val="TableBlock"/>
              <w:rPr>
                <w:rtl/>
              </w:rPr>
            </w:pPr>
            <w:r w:rsidRPr="00182F0A">
              <w:rPr>
                <w:rFonts w:hint="cs"/>
                <w:rtl/>
              </w:rPr>
              <w:t>(</w:t>
            </w:r>
            <w:r>
              <w:rPr>
                <w:rtl/>
              </w:rPr>
              <w:t xml:space="preserve">1) </w:t>
            </w:r>
            <w:r>
              <w:rPr>
                <w:rtl/>
              </w:rPr>
              <w:tab/>
              <w:t>בהגדרה "אסיפה", אחרי "שהתקהלו" יבוא "תחת כיפת השמים</w:t>
            </w:r>
            <w:r>
              <w:rPr>
                <w:rFonts w:hint="cs"/>
                <w:rtl/>
              </w:rPr>
              <w:t>";</w:t>
            </w:r>
          </w:p>
        </w:tc>
      </w:tr>
      <w:tr w:rsidR="00C711B3" w:rsidRPr="002A649A" w14:paraId="6560018B" w14:textId="77777777" w:rsidTr="002D61E3">
        <w:trPr>
          <w:cantSplit/>
        </w:trPr>
        <w:tc>
          <w:tcPr>
            <w:tcW w:w="1869" w:type="dxa"/>
          </w:tcPr>
          <w:p w14:paraId="5FCE64D9" w14:textId="77777777" w:rsidR="00C711B3" w:rsidRDefault="00C711B3" w:rsidP="002D61E3">
            <w:pPr>
              <w:pStyle w:val="TableSideHeading"/>
              <w:outlineLvl w:val="9"/>
              <w:rPr>
                <w:rtl/>
              </w:rPr>
            </w:pPr>
          </w:p>
        </w:tc>
        <w:tc>
          <w:tcPr>
            <w:tcW w:w="623" w:type="dxa"/>
          </w:tcPr>
          <w:p w14:paraId="0BFFCCF9" w14:textId="77777777" w:rsidR="00C711B3" w:rsidRDefault="00C711B3" w:rsidP="002D61E3">
            <w:pPr>
              <w:pStyle w:val="TableText"/>
              <w:keepLines w:val="0"/>
              <w:rPr>
                <w:rtl/>
              </w:rPr>
            </w:pPr>
          </w:p>
        </w:tc>
        <w:tc>
          <w:tcPr>
            <w:tcW w:w="7144" w:type="dxa"/>
            <w:gridSpan w:val="6"/>
          </w:tcPr>
          <w:p w14:paraId="6F6734C3" w14:textId="77777777" w:rsidR="00C711B3" w:rsidRDefault="00C711B3" w:rsidP="002D61E3">
            <w:pPr>
              <w:pStyle w:val="TableBlock"/>
              <w:rPr>
                <w:rtl/>
              </w:rPr>
            </w:pPr>
            <w:r>
              <w:rPr>
                <w:rFonts w:hint="cs"/>
                <w:rtl/>
              </w:rPr>
              <w:t>(2)</w:t>
            </w:r>
            <w:r>
              <w:rPr>
                <w:rtl/>
              </w:rPr>
              <w:tab/>
              <w:t>אחרי ההגדרה "אסיפה" יבו</w:t>
            </w:r>
            <w:r>
              <w:rPr>
                <w:rFonts w:hint="cs"/>
                <w:rtl/>
              </w:rPr>
              <w:t>א:</w:t>
            </w:r>
            <w:r>
              <w:t xml:space="preserve"> </w:t>
            </w:r>
          </w:p>
        </w:tc>
      </w:tr>
      <w:tr w:rsidR="00C711B3" w14:paraId="0A8B0187" w14:textId="77777777" w:rsidTr="002D61E3">
        <w:trPr>
          <w:cantSplit/>
        </w:trPr>
        <w:tc>
          <w:tcPr>
            <w:tcW w:w="1869" w:type="dxa"/>
          </w:tcPr>
          <w:p w14:paraId="2F281022" w14:textId="77777777" w:rsidR="00C711B3" w:rsidRDefault="00C711B3" w:rsidP="002D61E3">
            <w:pPr>
              <w:pStyle w:val="TableSideHeading"/>
            </w:pPr>
          </w:p>
        </w:tc>
        <w:tc>
          <w:tcPr>
            <w:tcW w:w="623" w:type="dxa"/>
          </w:tcPr>
          <w:p w14:paraId="2EFFABA3" w14:textId="77777777" w:rsidR="00C711B3" w:rsidRDefault="00C711B3" w:rsidP="002D61E3">
            <w:pPr>
              <w:pStyle w:val="TableText"/>
            </w:pPr>
          </w:p>
        </w:tc>
        <w:tc>
          <w:tcPr>
            <w:tcW w:w="624" w:type="dxa"/>
          </w:tcPr>
          <w:p w14:paraId="21686A67" w14:textId="77777777" w:rsidR="00C711B3" w:rsidRDefault="00C711B3" w:rsidP="002D61E3">
            <w:pPr>
              <w:pStyle w:val="TableText"/>
            </w:pPr>
          </w:p>
        </w:tc>
        <w:tc>
          <w:tcPr>
            <w:tcW w:w="6520" w:type="dxa"/>
            <w:gridSpan w:val="5"/>
          </w:tcPr>
          <w:p w14:paraId="3DC6B142" w14:textId="77777777" w:rsidR="00C711B3" w:rsidRPr="00F044A6" w:rsidRDefault="00C711B3" w:rsidP="00F044A6">
            <w:pPr>
              <w:pStyle w:val="TableBlockOutdent"/>
            </w:pPr>
            <w:r w:rsidRPr="00F044A6">
              <w:rPr>
                <w:rFonts w:hint="cs"/>
                <w:rtl/>
              </w:rPr>
              <w:t xml:space="preserve">""בית מגורים" </w:t>
            </w:r>
            <w:r w:rsidRPr="00F044A6">
              <w:rPr>
                <w:rtl/>
              </w:rPr>
              <w:t>–</w:t>
            </w:r>
            <w:r w:rsidRPr="00F044A6">
              <w:rPr>
                <w:rFonts w:hint="cs"/>
                <w:rtl/>
              </w:rPr>
              <w:t xml:space="preserve"> לרבות מעון מגורים רשמי, ובכלל זה משכן הנשיא ומעון ראש הממשלה;</w:t>
            </w:r>
          </w:p>
        </w:tc>
      </w:tr>
      <w:tr w:rsidR="00C711B3" w14:paraId="158C1790" w14:textId="77777777" w:rsidTr="002D61E3">
        <w:trPr>
          <w:cantSplit/>
        </w:trPr>
        <w:tc>
          <w:tcPr>
            <w:tcW w:w="1869" w:type="dxa"/>
          </w:tcPr>
          <w:p w14:paraId="11C655A3" w14:textId="77777777" w:rsidR="00C711B3" w:rsidRDefault="00C711B3" w:rsidP="002D61E3">
            <w:pPr>
              <w:pStyle w:val="TableSideHeading"/>
            </w:pPr>
          </w:p>
        </w:tc>
        <w:tc>
          <w:tcPr>
            <w:tcW w:w="623" w:type="dxa"/>
          </w:tcPr>
          <w:p w14:paraId="00D00D89" w14:textId="77777777" w:rsidR="00C711B3" w:rsidRDefault="00C711B3" w:rsidP="002D61E3">
            <w:pPr>
              <w:pStyle w:val="TableText"/>
            </w:pPr>
          </w:p>
        </w:tc>
        <w:tc>
          <w:tcPr>
            <w:tcW w:w="624" w:type="dxa"/>
          </w:tcPr>
          <w:p w14:paraId="48A3E08A" w14:textId="77777777" w:rsidR="00C711B3" w:rsidRDefault="00C711B3" w:rsidP="002D61E3">
            <w:pPr>
              <w:pStyle w:val="TableText"/>
            </w:pPr>
          </w:p>
        </w:tc>
        <w:tc>
          <w:tcPr>
            <w:tcW w:w="6520" w:type="dxa"/>
            <w:gridSpan w:val="5"/>
          </w:tcPr>
          <w:p w14:paraId="51E9E892" w14:textId="77777777" w:rsidR="00C711B3" w:rsidRPr="00F044A6" w:rsidRDefault="00C711B3" w:rsidP="00F044A6">
            <w:pPr>
              <w:pStyle w:val="TableBlockOutdent"/>
            </w:pPr>
            <w:r w:rsidRPr="00F044A6">
              <w:rPr>
                <w:rFonts w:hint="cs"/>
                <w:rtl/>
              </w:rPr>
              <w:t>"</w:t>
            </w:r>
            <w:r w:rsidRPr="00F044A6">
              <w:rPr>
                <w:rtl/>
              </w:rPr>
              <w:t xml:space="preserve">הפגנה" </w:t>
            </w:r>
            <w:r w:rsidRPr="00F044A6">
              <w:rPr>
                <w:rFonts w:hint="cs"/>
                <w:rtl/>
              </w:rPr>
              <w:t>–</w:t>
            </w:r>
            <w:r w:rsidRPr="00F044A6">
              <w:rPr>
                <w:rtl/>
              </w:rPr>
              <w:t xml:space="preserve"> אסיפה, תהלוכה או משמרת מח</w:t>
            </w:r>
            <w:r w:rsidRPr="00F044A6">
              <w:rPr>
                <w:rFonts w:hint="cs"/>
                <w:rtl/>
              </w:rPr>
              <w:t>אה;</w:t>
            </w:r>
          </w:p>
        </w:tc>
      </w:tr>
      <w:tr w:rsidR="00C711B3" w14:paraId="4645FD7C" w14:textId="77777777" w:rsidTr="002D61E3">
        <w:trPr>
          <w:cantSplit/>
        </w:trPr>
        <w:tc>
          <w:tcPr>
            <w:tcW w:w="1869" w:type="dxa"/>
          </w:tcPr>
          <w:p w14:paraId="3A709FB8" w14:textId="77777777" w:rsidR="00C711B3" w:rsidRDefault="00C711B3" w:rsidP="002D61E3">
            <w:pPr>
              <w:pStyle w:val="TableSideHeading"/>
            </w:pPr>
          </w:p>
        </w:tc>
        <w:tc>
          <w:tcPr>
            <w:tcW w:w="623" w:type="dxa"/>
          </w:tcPr>
          <w:p w14:paraId="0DAC165C" w14:textId="77777777" w:rsidR="00C711B3" w:rsidRDefault="00C711B3" w:rsidP="002D61E3">
            <w:pPr>
              <w:pStyle w:val="TableText"/>
            </w:pPr>
          </w:p>
        </w:tc>
        <w:tc>
          <w:tcPr>
            <w:tcW w:w="624" w:type="dxa"/>
          </w:tcPr>
          <w:p w14:paraId="1DE289F6" w14:textId="77777777" w:rsidR="00C711B3" w:rsidRDefault="00C711B3" w:rsidP="002D61E3">
            <w:pPr>
              <w:pStyle w:val="TableText"/>
            </w:pPr>
          </w:p>
        </w:tc>
        <w:tc>
          <w:tcPr>
            <w:tcW w:w="6520" w:type="dxa"/>
            <w:gridSpan w:val="5"/>
          </w:tcPr>
          <w:p w14:paraId="16D3613C" w14:textId="77777777" w:rsidR="00C711B3" w:rsidRPr="00F044A6" w:rsidRDefault="00C711B3" w:rsidP="00F044A6">
            <w:pPr>
              <w:pStyle w:val="TableBlockOutdent"/>
            </w:pPr>
            <w:r w:rsidRPr="00F044A6">
              <w:rPr>
                <w:rFonts w:hint="cs"/>
                <w:rtl/>
              </w:rPr>
              <w:t>"</w:t>
            </w:r>
            <w:r w:rsidRPr="00F044A6">
              <w:rPr>
                <w:rtl/>
              </w:rPr>
              <w:t>מפקד המחוז" - מפקד מחוז המשטרה שבתחומו נועדה להתקיים הפגנה, או סגנו</w:t>
            </w:r>
            <w:r w:rsidRPr="00F044A6">
              <w:rPr>
                <w:rFonts w:hint="cs"/>
                <w:rtl/>
              </w:rPr>
              <w:t>;</w:t>
            </w:r>
          </w:p>
        </w:tc>
      </w:tr>
      <w:tr w:rsidR="00C711B3" w14:paraId="69C001D1" w14:textId="77777777" w:rsidTr="002D61E3">
        <w:trPr>
          <w:cantSplit/>
        </w:trPr>
        <w:tc>
          <w:tcPr>
            <w:tcW w:w="1869" w:type="dxa"/>
          </w:tcPr>
          <w:p w14:paraId="061A4ADA" w14:textId="77777777" w:rsidR="00C711B3" w:rsidRDefault="00C711B3" w:rsidP="002D61E3">
            <w:pPr>
              <w:pStyle w:val="TableSideHeading"/>
            </w:pPr>
          </w:p>
        </w:tc>
        <w:tc>
          <w:tcPr>
            <w:tcW w:w="623" w:type="dxa"/>
          </w:tcPr>
          <w:p w14:paraId="39B647A4" w14:textId="77777777" w:rsidR="00C711B3" w:rsidRDefault="00C711B3" w:rsidP="002D61E3">
            <w:pPr>
              <w:pStyle w:val="TableText"/>
            </w:pPr>
          </w:p>
        </w:tc>
        <w:tc>
          <w:tcPr>
            <w:tcW w:w="624" w:type="dxa"/>
          </w:tcPr>
          <w:p w14:paraId="20E72C22" w14:textId="77777777" w:rsidR="00C711B3" w:rsidRDefault="00C711B3" w:rsidP="002D61E3">
            <w:pPr>
              <w:pStyle w:val="TableText"/>
            </w:pPr>
          </w:p>
        </w:tc>
        <w:tc>
          <w:tcPr>
            <w:tcW w:w="6520" w:type="dxa"/>
            <w:gridSpan w:val="5"/>
          </w:tcPr>
          <w:p w14:paraId="5F94C7C0" w14:textId="77777777" w:rsidR="00C711B3" w:rsidRPr="00F044A6" w:rsidRDefault="00C711B3" w:rsidP="00F044A6">
            <w:pPr>
              <w:pStyle w:val="TableBlockOutdent"/>
            </w:pPr>
            <w:r w:rsidRPr="00F044A6">
              <w:rPr>
                <w:rFonts w:hint="cs"/>
                <w:rtl/>
              </w:rPr>
              <w:t>"</w:t>
            </w:r>
            <w:r w:rsidRPr="00F044A6">
              <w:rPr>
                <w:rtl/>
              </w:rPr>
              <w:t xml:space="preserve">משמרת מחאה" </w:t>
            </w:r>
            <w:r w:rsidRPr="00F044A6">
              <w:rPr>
                <w:rFonts w:hint="cs"/>
                <w:rtl/>
              </w:rPr>
              <w:t>–</w:t>
            </w:r>
            <w:r w:rsidRPr="00F044A6">
              <w:rPr>
                <w:rtl/>
              </w:rPr>
              <w:t xml:space="preserve"> אדם אחד או יותר, השוהה ליד בית מגורים כשהוא נושא שלט, קורא קריאות או מאזין לנאום או להרצאה, והכל במטרה למחות נגד מעשה של אדם המתגורר באותו בית מגורים או לגרום לו לעשות מעשה או להימנע מעשיית מעשה, </w:t>
            </w:r>
            <w:r w:rsidRPr="00F044A6">
              <w:rPr>
                <w:rFonts w:hint="cs"/>
                <w:rtl/>
              </w:rPr>
              <w:t>או בנושא הקשור</w:t>
            </w:r>
            <w:r w:rsidRPr="00F044A6">
              <w:rPr>
                <w:rtl/>
              </w:rPr>
              <w:t xml:space="preserve"> לביצוע תפקידו הציבורי או לשירות שהוא נותן לציבור</w:t>
            </w:r>
            <w:r w:rsidRPr="00F044A6">
              <w:rPr>
                <w:rFonts w:hint="cs"/>
                <w:rtl/>
              </w:rPr>
              <w:t>;";</w:t>
            </w:r>
          </w:p>
        </w:tc>
      </w:tr>
      <w:tr w:rsidR="00C711B3" w:rsidRPr="002A649A" w14:paraId="7A8A615C" w14:textId="77777777" w:rsidTr="002D61E3">
        <w:trPr>
          <w:cantSplit/>
        </w:trPr>
        <w:tc>
          <w:tcPr>
            <w:tcW w:w="1869" w:type="dxa"/>
          </w:tcPr>
          <w:p w14:paraId="06128C71" w14:textId="77777777" w:rsidR="00C711B3" w:rsidRDefault="00C711B3" w:rsidP="002D61E3">
            <w:pPr>
              <w:pStyle w:val="TableSideHeading"/>
              <w:outlineLvl w:val="9"/>
              <w:rPr>
                <w:rtl/>
              </w:rPr>
            </w:pPr>
          </w:p>
        </w:tc>
        <w:tc>
          <w:tcPr>
            <w:tcW w:w="623" w:type="dxa"/>
          </w:tcPr>
          <w:p w14:paraId="10A2728B" w14:textId="77777777" w:rsidR="00C711B3" w:rsidRDefault="00C711B3" w:rsidP="002D61E3">
            <w:pPr>
              <w:pStyle w:val="TableText"/>
              <w:keepLines w:val="0"/>
              <w:rPr>
                <w:rtl/>
              </w:rPr>
            </w:pPr>
          </w:p>
        </w:tc>
        <w:tc>
          <w:tcPr>
            <w:tcW w:w="7144" w:type="dxa"/>
            <w:gridSpan w:val="6"/>
          </w:tcPr>
          <w:p w14:paraId="4310E768" w14:textId="77777777" w:rsidR="00C711B3" w:rsidRDefault="00C711B3" w:rsidP="002D61E3">
            <w:pPr>
              <w:pStyle w:val="TableBlock"/>
              <w:rPr>
                <w:rtl/>
              </w:rPr>
            </w:pPr>
            <w:r>
              <w:rPr>
                <w:rFonts w:hint="cs"/>
                <w:rtl/>
              </w:rPr>
              <w:t>(3)</w:t>
            </w:r>
            <w:r>
              <w:rPr>
                <w:rtl/>
              </w:rPr>
              <w:tab/>
            </w:r>
            <w:r>
              <w:rPr>
                <w:rFonts w:hint="cs"/>
                <w:rtl/>
              </w:rPr>
              <w:t xml:space="preserve">ההגדרה "מחוז" </w:t>
            </w:r>
            <w:r>
              <w:rPr>
                <w:rtl/>
              </w:rPr>
              <w:t>–</w:t>
            </w:r>
            <w:r>
              <w:rPr>
                <w:rFonts w:hint="cs"/>
                <w:rtl/>
              </w:rPr>
              <w:t xml:space="preserve"> תימחק.</w:t>
            </w:r>
          </w:p>
        </w:tc>
      </w:tr>
      <w:tr w:rsidR="00C711B3" w14:paraId="35A9FAB8" w14:textId="77777777" w:rsidTr="002D61E3">
        <w:trPr>
          <w:cantSplit/>
        </w:trPr>
        <w:tc>
          <w:tcPr>
            <w:tcW w:w="1869" w:type="dxa"/>
          </w:tcPr>
          <w:p w14:paraId="29C60BCC" w14:textId="77777777" w:rsidR="00C711B3" w:rsidRDefault="00C711B3" w:rsidP="002D61E3">
            <w:pPr>
              <w:pStyle w:val="TableSideHeading"/>
            </w:pPr>
            <w:r>
              <w:rPr>
                <w:rFonts w:hint="cs"/>
                <w:rtl/>
              </w:rPr>
              <w:t>החלפת סעיף 84</w:t>
            </w:r>
          </w:p>
        </w:tc>
        <w:tc>
          <w:tcPr>
            <w:tcW w:w="623" w:type="dxa"/>
          </w:tcPr>
          <w:p w14:paraId="2DBF50E0" w14:textId="77777777" w:rsidR="00C711B3" w:rsidRDefault="00C711B3" w:rsidP="002D61E3">
            <w:pPr>
              <w:pStyle w:val="TableText"/>
            </w:pPr>
            <w:r>
              <w:rPr>
                <w:rFonts w:hint="cs"/>
                <w:rtl/>
              </w:rPr>
              <w:t>4.</w:t>
            </w:r>
          </w:p>
        </w:tc>
        <w:tc>
          <w:tcPr>
            <w:tcW w:w="7144" w:type="dxa"/>
            <w:gridSpan w:val="6"/>
          </w:tcPr>
          <w:p w14:paraId="1F8E6AF5" w14:textId="77777777" w:rsidR="00C711B3" w:rsidRPr="00C34DE2" w:rsidRDefault="00C711B3" w:rsidP="002D61E3">
            <w:pPr>
              <w:pStyle w:val="TableBlock"/>
            </w:pPr>
            <w:r>
              <w:rPr>
                <w:rFonts w:hint="cs"/>
                <w:rtl/>
              </w:rPr>
              <w:t>במקום סעיף 84 לפקודה יבוא:</w:t>
            </w:r>
          </w:p>
        </w:tc>
      </w:tr>
      <w:tr w:rsidR="00C711B3" w14:paraId="32DCAD9B" w14:textId="77777777" w:rsidTr="002D61E3">
        <w:trPr>
          <w:cantSplit/>
        </w:trPr>
        <w:tc>
          <w:tcPr>
            <w:tcW w:w="1869" w:type="dxa"/>
          </w:tcPr>
          <w:p w14:paraId="550423C8" w14:textId="77777777" w:rsidR="00C711B3" w:rsidRDefault="00C711B3" w:rsidP="002D61E3">
            <w:pPr>
              <w:pStyle w:val="TableSideHeading"/>
              <w:keepLines w:val="0"/>
            </w:pPr>
          </w:p>
        </w:tc>
        <w:tc>
          <w:tcPr>
            <w:tcW w:w="623" w:type="dxa"/>
          </w:tcPr>
          <w:p w14:paraId="1ADD9FAD" w14:textId="77777777" w:rsidR="00C711B3" w:rsidRDefault="00C711B3" w:rsidP="002D61E3">
            <w:pPr>
              <w:pStyle w:val="TableText"/>
              <w:keepLines w:val="0"/>
            </w:pPr>
          </w:p>
        </w:tc>
        <w:tc>
          <w:tcPr>
            <w:tcW w:w="1872" w:type="dxa"/>
            <w:gridSpan w:val="3"/>
          </w:tcPr>
          <w:p w14:paraId="43437887" w14:textId="77777777" w:rsidR="00C711B3" w:rsidRDefault="00C711B3" w:rsidP="002D61E3">
            <w:pPr>
              <w:pStyle w:val="TableInnerSideHeading"/>
            </w:pPr>
            <w:r>
              <w:rPr>
                <w:rFonts w:hint="cs"/>
                <w:rtl/>
              </w:rPr>
              <w:t>"</w:t>
            </w:r>
            <w:r w:rsidRPr="00FD61A1">
              <w:rPr>
                <w:rFonts w:hint="eastAsia"/>
                <w:rtl/>
              </w:rPr>
              <w:t>חובת</w:t>
            </w:r>
            <w:r w:rsidRPr="00FD61A1">
              <w:rPr>
                <w:rtl/>
              </w:rPr>
              <w:t xml:space="preserve"> </w:t>
            </w:r>
            <w:r w:rsidRPr="00FD61A1">
              <w:rPr>
                <w:rFonts w:hint="eastAsia"/>
                <w:rtl/>
              </w:rPr>
              <w:t>רישוי</w:t>
            </w:r>
            <w:r>
              <w:rPr>
                <w:rtl/>
              </w:rPr>
              <w:t xml:space="preserve"> </w:t>
            </w:r>
            <w:r w:rsidRPr="00FD61A1">
              <w:rPr>
                <w:rtl/>
              </w:rPr>
              <w:t xml:space="preserve">               </w:t>
            </w:r>
          </w:p>
        </w:tc>
        <w:tc>
          <w:tcPr>
            <w:tcW w:w="624" w:type="dxa"/>
          </w:tcPr>
          <w:p w14:paraId="0E73B43A" w14:textId="77777777" w:rsidR="00C711B3" w:rsidRDefault="00C711B3" w:rsidP="002D61E3">
            <w:pPr>
              <w:pStyle w:val="TableText"/>
            </w:pPr>
            <w:r>
              <w:rPr>
                <w:rFonts w:hint="cs"/>
                <w:rtl/>
              </w:rPr>
              <w:t>84.</w:t>
            </w:r>
          </w:p>
        </w:tc>
        <w:tc>
          <w:tcPr>
            <w:tcW w:w="4648" w:type="dxa"/>
            <w:gridSpan w:val="2"/>
          </w:tcPr>
          <w:p w14:paraId="07D5DF1A" w14:textId="77777777" w:rsidR="00C711B3" w:rsidRDefault="00C711B3" w:rsidP="002D61E3">
            <w:pPr>
              <w:pStyle w:val="TableBlock"/>
            </w:pPr>
            <w:r>
              <w:rPr>
                <w:rFonts w:hint="cs"/>
                <w:rtl/>
              </w:rPr>
              <w:t>(א)</w:t>
            </w:r>
            <w:r>
              <w:rPr>
                <w:rtl/>
              </w:rPr>
              <w:tab/>
            </w:r>
            <w:r>
              <w:rPr>
                <w:rFonts w:hint="cs"/>
                <w:rtl/>
              </w:rPr>
              <w:t>לא יארגן אדם ולא יקיים הפגנה, אלא אם כן יש בידו רישיון לכך שניתן לו מאת מפקד המחוז, ובהתאם לתנאי הרישיון.</w:t>
            </w:r>
          </w:p>
        </w:tc>
      </w:tr>
      <w:tr w:rsidR="00C711B3" w14:paraId="4D07CC22" w14:textId="77777777" w:rsidTr="002D61E3">
        <w:trPr>
          <w:cantSplit/>
        </w:trPr>
        <w:tc>
          <w:tcPr>
            <w:tcW w:w="1869" w:type="dxa"/>
          </w:tcPr>
          <w:p w14:paraId="56FCDFE2" w14:textId="77777777" w:rsidR="00C711B3" w:rsidRDefault="00C711B3" w:rsidP="002D61E3">
            <w:pPr>
              <w:pStyle w:val="TableSideHeading"/>
            </w:pPr>
          </w:p>
        </w:tc>
        <w:tc>
          <w:tcPr>
            <w:tcW w:w="623" w:type="dxa"/>
          </w:tcPr>
          <w:p w14:paraId="3E25D35E" w14:textId="77777777" w:rsidR="00C711B3" w:rsidRDefault="00C711B3" w:rsidP="002D61E3">
            <w:pPr>
              <w:pStyle w:val="TableText"/>
            </w:pPr>
          </w:p>
        </w:tc>
        <w:tc>
          <w:tcPr>
            <w:tcW w:w="624" w:type="dxa"/>
          </w:tcPr>
          <w:p w14:paraId="4C2A9710" w14:textId="77777777" w:rsidR="00C711B3" w:rsidRDefault="00C711B3" w:rsidP="002D61E3">
            <w:pPr>
              <w:pStyle w:val="TableText"/>
            </w:pPr>
          </w:p>
        </w:tc>
        <w:tc>
          <w:tcPr>
            <w:tcW w:w="624" w:type="dxa"/>
          </w:tcPr>
          <w:p w14:paraId="18F21975" w14:textId="77777777" w:rsidR="00C711B3" w:rsidRDefault="00C711B3" w:rsidP="002D61E3">
            <w:pPr>
              <w:pStyle w:val="TableText"/>
            </w:pPr>
          </w:p>
        </w:tc>
        <w:tc>
          <w:tcPr>
            <w:tcW w:w="624" w:type="dxa"/>
          </w:tcPr>
          <w:p w14:paraId="1AC74C69" w14:textId="77777777" w:rsidR="00C711B3" w:rsidRDefault="00C711B3" w:rsidP="002D61E3">
            <w:pPr>
              <w:pStyle w:val="TableText"/>
            </w:pPr>
          </w:p>
        </w:tc>
        <w:tc>
          <w:tcPr>
            <w:tcW w:w="624" w:type="dxa"/>
          </w:tcPr>
          <w:p w14:paraId="6ACB26BE" w14:textId="77777777" w:rsidR="00C711B3" w:rsidRDefault="00C711B3" w:rsidP="002D61E3">
            <w:pPr>
              <w:pStyle w:val="TableText"/>
            </w:pPr>
          </w:p>
        </w:tc>
        <w:tc>
          <w:tcPr>
            <w:tcW w:w="4648" w:type="dxa"/>
            <w:gridSpan w:val="2"/>
          </w:tcPr>
          <w:p w14:paraId="0E9A359F" w14:textId="77777777" w:rsidR="00C711B3" w:rsidRDefault="00C711B3" w:rsidP="002D61E3">
            <w:pPr>
              <w:pStyle w:val="TableBlock"/>
            </w:pPr>
            <w:r>
              <w:rPr>
                <w:rFonts w:hint="cs"/>
                <w:rtl/>
              </w:rPr>
              <w:t>(ב)</w:t>
            </w:r>
            <w:r>
              <w:rPr>
                <w:rtl/>
              </w:rPr>
              <w:tab/>
              <w:t xml:space="preserve">בקשה לקבלת רישיון לפי סעיף קטן </w:t>
            </w:r>
            <w:r>
              <w:rPr>
                <w:rFonts w:hint="cs"/>
                <w:rtl/>
              </w:rPr>
              <w:t>(א)</w:t>
            </w:r>
            <w:r>
              <w:rPr>
                <w:rtl/>
              </w:rPr>
              <w:t xml:space="preserve"> תוגש למפקד המחוז, לא יאוחר מחמישה ימים לפני המועד שנועד לקיום ההפגנה</w:t>
            </w:r>
            <w:r>
              <w:rPr>
                <w:rFonts w:hint="cs"/>
                <w:rtl/>
              </w:rPr>
              <w:t>.</w:t>
            </w:r>
          </w:p>
        </w:tc>
      </w:tr>
      <w:tr w:rsidR="00C711B3" w14:paraId="6743287A" w14:textId="77777777" w:rsidTr="002D61E3">
        <w:trPr>
          <w:cantSplit/>
        </w:trPr>
        <w:tc>
          <w:tcPr>
            <w:tcW w:w="1869" w:type="dxa"/>
          </w:tcPr>
          <w:p w14:paraId="3F2F171C" w14:textId="77777777" w:rsidR="00C711B3" w:rsidRDefault="00C711B3" w:rsidP="002D61E3">
            <w:pPr>
              <w:pStyle w:val="TableSideHeading"/>
            </w:pPr>
          </w:p>
        </w:tc>
        <w:tc>
          <w:tcPr>
            <w:tcW w:w="623" w:type="dxa"/>
          </w:tcPr>
          <w:p w14:paraId="0C965016" w14:textId="77777777" w:rsidR="00C711B3" w:rsidRDefault="00C711B3" w:rsidP="002D61E3">
            <w:pPr>
              <w:pStyle w:val="TableText"/>
            </w:pPr>
          </w:p>
        </w:tc>
        <w:tc>
          <w:tcPr>
            <w:tcW w:w="624" w:type="dxa"/>
          </w:tcPr>
          <w:p w14:paraId="7D8B1755" w14:textId="77777777" w:rsidR="00C711B3" w:rsidRDefault="00C711B3" w:rsidP="002D61E3">
            <w:pPr>
              <w:pStyle w:val="TableText"/>
            </w:pPr>
          </w:p>
        </w:tc>
        <w:tc>
          <w:tcPr>
            <w:tcW w:w="624" w:type="dxa"/>
          </w:tcPr>
          <w:p w14:paraId="5C0B12AF" w14:textId="77777777" w:rsidR="00C711B3" w:rsidRDefault="00C711B3" w:rsidP="002D61E3">
            <w:pPr>
              <w:pStyle w:val="TableText"/>
            </w:pPr>
          </w:p>
        </w:tc>
        <w:tc>
          <w:tcPr>
            <w:tcW w:w="624" w:type="dxa"/>
          </w:tcPr>
          <w:p w14:paraId="2FD8B8B0" w14:textId="77777777" w:rsidR="00C711B3" w:rsidRDefault="00C711B3" w:rsidP="002D61E3">
            <w:pPr>
              <w:pStyle w:val="TableText"/>
            </w:pPr>
          </w:p>
        </w:tc>
        <w:tc>
          <w:tcPr>
            <w:tcW w:w="624" w:type="dxa"/>
          </w:tcPr>
          <w:p w14:paraId="28320E1B" w14:textId="77777777" w:rsidR="00C711B3" w:rsidRDefault="00C711B3" w:rsidP="002D61E3">
            <w:pPr>
              <w:pStyle w:val="TableText"/>
            </w:pPr>
          </w:p>
        </w:tc>
        <w:tc>
          <w:tcPr>
            <w:tcW w:w="4648" w:type="dxa"/>
            <w:gridSpan w:val="2"/>
          </w:tcPr>
          <w:p w14:paraId="2353F74E" w14:textId="77777777" w:rsidR="00C711B3" w:rsidRDefault="00C711B3" w:rsidP="002D61E3">
            <w:pPr>
              <w:pStyle w:val="TableBlock"/>
              <w:rPr>
                <w:rtl/>
              </w:rPr>
            </w:pPr>
            <w:r>
              <w:rPr>
                <w:rFonts w:hint="cs"/>
                <w:rtl/>
              </w:rPr>
              <w:t>(ג)</w:t>
            </w:r>
            <w:r>
              <w:rPr>
                <w:rtl/>
              </w:rPr>
              <w:tab/>
              <w:t xml:space="preserve">השר רשאי לפטור, בתקנות, סוגים של אסיפות או תהלוכות מחובת הרישוי כאמור בסעיף קטן </w:t>
            </w:r>
            <w:r>
              <w:rPr>
                <w:rFonts w:hint="cs"/>
                <w:rtl/>
              </w:rPr>
              <w:t>(א)".</w:t>
            </w:r>
          </w:p>
        </w:tc>
      </w:tr>
      <w:tr w:rsidR="00C711B3" w14:paraId="0892AD1D" w14:textId="77777777" w:rsidTr="002D61E3">
        <w:trPr>
          <w:cantSplit/>
        </w:trPr>
        <w:tc>
          <w:tcPr>
            <w:tcW w:w="1869" w:type="dxa"/>
          </w:tcPr>
          <w:p w14:paraId="1674B28E" w14:textId="77777777" w:rsidR="00C711B3" w:rsidRDefault="00C711B3" w:rsidP="002D61E3">
            <w:pPr>
              <w:pStyle w:val="TableSideHeading"/>
            </w:pPr>
            <w:r>
              <w:rPr>
                <w:rFonts w:hint="cs"/>
                <w:rtl/>
              </w:rPr>
              <w:t>תיקון סעיף 85</w:t>
            </w:r>
          </w:p>
        </w:tc>
        <w:tc>
          <w:tcPr>
            <w:tcW w:w="623" w:type="dxa"/>
          </w:tcPr>
          <w:p w14:paraId="15F2AA16" w14:textId="77777777" w:rsidR="00C711B3" w:rsidRDefault="00C711B3" w:rsidP="002D61E3">
            <w:pPr>
              <w:pStyle w:val="TableText"/>
            </w:pPr>
            <w:r>
              <w:rPr>
                <w:rFonts w:hint="cs"/>
                <w:rtl/>
              </w:rPr>
              <w:t>5.</w:t>
            </w:r>
          </w:p>
        </w:tc>
        <w:tc>
          <w:tcPr>
            <w:tcW w:w="7144" w:type="dxa"/>
            <w:gridSpan w:val="6"/>
          </w:tcPr>
          <w:p w14:paraId="1973BFD2" w14:textId="77777777" w:rsidR="00C711B3" w:rsidRPr="00C34DE2" w:rsidRDefault="00C711B3" w:rsidP="002D61E3">
            <w:pPr>
              <w:pStyle w:val="TableBlock"/>
            </w:pPr>
            <w:r>
              <w:rPr>
                <w:rtl/>
              </w:rPr>
              <w:t>בסעיף 85 לפקוד</w:t>
            </w:r>
            <w:r>
              <w:rPr>
                <w:rFonts w:hint="cs"/>
                <w:rtl/>
              </w:rPr>
              <w:t xml:space="preserve">ה: </w:t>
            </w:r>
          </w:p>
        </w:tc>
      </w:tr>
      <w:tr w:rsidR="00C711B3" w14:paraId="2E6630E6" w14:textId="77777777" w:rsidTr="002D61E3">
        <w:trPr>
          <w:cantSplit/>
        </w:trPr>
        <w:tc>
          <w:tcPr>
            <w:tcW w:w="1869" w:type="dxa"/>
          </w:tcPr>
          <w:p w14:paraId="7E07F27F" w14:textId="77777777" w:rsidR="00C711B3" w:rsidRDefault="00C711B3" w:rsidP="002D61E3">
            <w:pPr>
              <w:pStyle w:val="TableSideHeading"/>
              <w:rPr>
                <w:rtl/>
              </w:rPr>
            </w:pPr>
          </w:p>
        </w:tc>
        <w:tc>
          <w:tcPr>
            <w:tcW w:w="623" w:type="dxa"/>
          </w:tcPr>
          <w:p w14:paraId="11EEDE7C" w14:textId="77777777" w:rsidR="00C711B3" w:rsidRDefault="00C711B3" w:rsidP="002D61E3">
            <w:pPr>
              <w:pStyle w:val="TableText"/>
              <w:rPr>
                <w:rtl/>
              </w:rPr>
            </w:pPr>
          </w:p>
        </w:tc>
        <w:tc>
          <w:tcPr>
            <w:tcW w:w="7144" w:type="dxa"/>
            <w:gridSpan w:val="6"/>
          </w:tcPr>
          <w:p w14:paraId="13DA07B4" w14:textId="77777777" w:rsidR="00C711B3" w:rsidRDefault="00C711B3" w:rsidP="002D61E3">
            <w:pPr>
              <w:pStyle w:val="TableBlock"/>
              <w:rPr>
                <w:rtl/>
              </w:rPr>
            </w:pPr>
            <w:r w:rsidRPr="006E49AB">
              <w:rPr>
                <w:rFonts w:hint="cs"/>
                <w:rtl/>
              </w:rPr>
              <w:t>(</w:t>
            </w:r>
            <w:r>
              <w:rPr>
                <w:rtl/>
              </w:rPr>
              <w:t>1)</w:t>
            </w:r>
            <w:r>
              <w:rPr>
                <w:rtl/>
              </w:rPr>
              <w:tab/>
              <w:t>במקום כותרת השוליים יבוא "החלטה בבקשה למתן רישיון</w:t>
            </w:r>
            <w:r>
              <w:rPr>
                <w:rFonts w:hint="cs"/>
                <w:rtl/>
              </w:rPr>
              <w:t>";</w:t>
            </w:r>
          </w:p>
        </w:tc>
      </w:tr>
      <w:tr w:rsidR="00C711B3" w14:paraId="7493FF9F" w14:textId="77777777" w:rsidTr="002D61E3">
        <w:trPr>
          <w:cantSplit/>
        </w:trPr>
        <w:tc>
          <w:tcPr>
            <w:tcW w:w="1869" w:type="dxa"/>
          </w:tcPr>
          <w:p w14:paraId="216EBD5A" w14:textId="77777777" w:rsidR="00C711B3" w:rsidRDefault="00C711B3" w:rsidP="002D61E3">
            <w:pPr>
              <w:pStyle w:val="TableSideHeading"/>
              <w:rPr>
                <w:rtl/>
              </w:rPr>
            </w:pPr>
          </w:p>
        </w:tc>
        <w:tc>
          <w:tcPr>
            <w:tcW w:w="623" w:type="dxa"/>
          </w:tcPr>
          <w:p w14:paraId="3062D859" w14:textId="77777777" w:rsidR="00C711B3" w:rsidRDefault="00C711B3" w:rsidP="002D61E3">
            <w:pPr>
              <w:pStyle w:val="TableText"/>
              <w:rPr>
                <w:rtl/>
              </w:rPr>
            </w:pPr>
          </w:p>
        </w:tc>
        <w:tc>
          <w:tcPr>
            <w:tcW w:w="7144" w:type="dxa"/>
            <w:gridSpan w:val="6"/>
          </w:tcPr>
          <w:p w14:paraId="5B12A014" w14:textId="77777777" w:rsidR="00C711B3" w:rsidRDefault="00C711B3" w:rsidP="002D61E3">
            <w:pPr>
              <w:pStyle w:val="TableBlock"/>
              <w:rPr>
                <w:rtl/>
              </w:rPr>
            </w:pPr>
            <w:r>
              <w:rPr>
                <w:rFonts w:hint="cs"/>
                <w:rtl/>
              </w:rPr>
              <w:t>(2)</w:t>
            </w:r>
            <w:r>
              <w:rPr>
                <w:rtl/>
              </w:rPr>
              <w:tab/>
              <w:t>במקום הרישה יבוא "הוגשה בקשה לקבלת רישיון לפי סעיף 84</w:t>
            </w:r>
            <w:r>
              <w:rPr>
                <w:rFonts w:hint="cs"/>
                <w:rtl/>
              </w:rPr>
              <w:t xml:space="preserve">, </w:t>
            </w:r>
            <w:r>
              <w:rPr>
                <w:rtl/>
              </w:rPr>
              <w:t>רשאי מפקד המחוז, לאחר שבחן את השפעת ההפגנה נושא הבקשה על ביטחון הציבור והסדר הציבו</w:t>
            </w:r>
            <w:r>
              <w:rPr>
                <w:rFonts w:hint="cs"/>
                <w:rtl/>
              </w:rPr>
              <w:t>ר".</w:t>
            </w:r>
          </w:p>
        </w:tc>
      </w:tr>
      <w:tr w:rsidR="00C711B3" w14:paraId="3E2F05AE" w14:textId="77777777" w:rsidTr="002D61E3">
        <w:trPr>
          <w:cantSplit/>
        </w:trPr>
        <w:tc>
          <w:tcPr>
            <w:tcW w:w="1869" w:type="dxa"/>
          </w:tcPr>
          <w:p w14:paraId="6CC2673A" w14:textId="77777777" w:rsidR="00C711B3" w:rsidRDefault="00C711B3" w:rsidP="002D61E3">
            <w:pPr>
              <w:pStyle w:val="TableSideHeading"/>
              <w:rPr>
                <w:rtl/>
              </w:rPr>
            </w:pPr>
            <w:r>
              <w:rPr>
                <w:rFonts w:hint="cs"/>
                <w:rtl/>
              </w:rPr>
              <w:t>הוספת סעיף 85א</w:t>
            </w:r>
          </w:p>
        </w:tc>
        <w:tc>
          <w:tcPr>
            <w:tcW w:w="623" w:type="dxa"/>
          </w:tcPr>
          <w:p w14:paraId="78FF0EA2" w14:textId="77777777" w:rsidR="00C711B3" w:rsidRDefault="00C711B3" w:rsidP="002D61E3">
            <w:pPr>
              <w:pStyle w:val="TableText"/>
              <w:rPr>
                <w:rtl/>
              </w:rPr>
            </w:pPr>
            <w:r>
              <w:rPr>
                <w:rFonts w:hint="cs"/>
                <w:rtl/>
              </w:rPr>
              <w:t>6.</w:t>
            </w:r>
          </w:p>
        </w:tc>
        <w:tc>
          <w:tcPr>
            <w:tcW w:w="7144" w:type="dxa"/>
            <w:gridSpan w:val="6"/>
          </w:tcPr>
          <w:p w14:paraId="6BE152B6" w14:textId="77777777" w:rsidR="00C711B3" w:rsidRDefault="00C711B3" w:rsidP="002D61E3">
            <w:pPr>
              <w:pStyle w:val="TableBlock"/>
              <w:rPr>
                <w:rtl/>
              </w:rPr>
            </w:pPr>
            <w:r>
              <w:rPr>
                <w:rtl/>
              </w:rPr>
              <w:t>אחרי סעיף 85 לפקודה יבוא</w:t>
            </w:r>
            <w:r>
              <w:rPr>
                <w:rFonts w:hint="cs"/>
                <w:rtl/>
              </w:rPr>
              <w:t>:</w:t>
            </w:r>
          </w:p>
        </w:tc>
      </w:tr>
      <w:tr w:rsidR="00C711B3" w14:paraId="512BED3A" w14:textId="77777777" w:rsidTr="002D61E3">
        <w:trPr>
          <w:cantSplit/>
        </w:trPr>
        <w:tc>
          <w:tcPr>
            <w:tcW w:w="1869" w:type="dxa"/>
          </w:tcPr>
          <w:p w14:paraId="2CF9BDE7" w14:textId="77777777" w:rsidR="00C711B3" w:rsidRDefault="00C711B3" w:rsidP="002D61E3">
            <w:pPr>
              <w:pStyle w:val="TableSideHeading"/>
              <w:keepLines w:val="0"/>
            </w:pPr>
          </w:p>
        </w:tc>
        <w:tc>
          <w:tcPr>
            <w:tcW w:w="623" w:type="dxa"/>
          </w:tcPr>
          <w:p w14:paraId="03F70AA8" w14:textId="77777777" w:rsidR="00C711B3" w:rsidRDefault="00C711B3" w:rsidP="002D61E3">
            <w:pPr>
              <w:pStyle w:val="TableText"/>
              <w:keepLines w:val="0"/>
            </w:pPr>
          </w:p>
        </w:tc>
        <w:tc>
          <w:tcPr>
            <w:tcW w:w="1872" w:type="dxa"/>
            <w:gridSpan w:val="3"/>
          </w:tcPr>
          <w:p w14:paraId="37608A4D" w14:textId="77777777" w:rsidR="00C711B3" w:rsidRPr="00FD61A1" w:rsidRDefault="00C711B3" w:rsidP="002D61E3">
            <w:pPr>
              <w:pStyle w:val="TableInnerSideHeading"/>
            </w:pPr>
            <w:r>
              <w:rPr>
                <w:rFonts w:hint="cs"/>
                <w:rtl/>
              </w:rPr>
              <w:t>"</w:t>
            </w:r>
            <w:r w:rsidRPr="00FD61A1">
              <w:rPr>
                <w:rFonts w:hint="eastAsia"/>
                <w:rtl/>
              </w:rPr>
              <w:t>סייגים</w:t>
            </w:r>
            <w:r w:rsidRPr="00FD61A1">
              <w:rPr>
                <w:rtl/>
              </w:rPr>
              <w:t xml:space="preserve"> </w:t>
            </w:r>
            <w:r w:rsidRPr="00FD61A1">
              <w:rPr>
                <w:rFonts w:hint="eastAsia"/>
                <w:rtl/>
              </w:rPr>
              <w:t>ותנאים</w:t>
            </w:r>
            <w:r w:rsidRPr="00FD61A1">
              <w:rPr>
                <w:rtl/>
              </w:rPr>
              <w:t xml:space="preserve"> </w:t>
            </w:r>
            <w:r w:rsidRPr="00FD61A1">
              <w:rPr>
                <w:rFonts w:hint="eastAsia"/>
                <w:rtl/>
              </w:rPr>
              <w:t>למתן</w:t>
            </w:r>
            <w:r w:rsidRPr="00FD61A1">
              <w:rPr>
                <w:rtl/>
              </w:rPr>
              <w:t xml:space="preserve"> </w:t>
            </w:r>
            <w:r w:rsidRPr="00FD61A1">
              <w:rPr>
                <w:rFonts w:hint="eastAsia"/>
                <w:rtl/>
              </w:rPr>
              <w:t>רישיון</w:t>
            </w:r>
            <w:r w:rsidRPr="00FD61A1">
              <w:rPr>
                <w:rtl/>
              </w:rPr>
              <w:t xml:space="preserve"> </w:t>
            </w:r>
            <w:r w:rsidRPr="00FD61A1">
              <w:rPr>
                <w:rFonts w:hint="eastAsia"/>
                <w:rtl/>
              </w:rPr>
              <w:t>לקיום</w:t>
            </w:r>
            <w:r w:rsidRPr="00FD61A1">
              <w:rPr>
                <w:rtl/>
              </w:rPr>
              <w:t xml:space="preserve"> </w:t>
            </w:r>
            <w:r w:rsidRPr="00FD61A1">
              <w:rPr>
                <w:rFonts w:hint="eastAsia"/>
                <w:rtl/>
              </w:rPr>
              <w:t>הפגנה</w:t>
            </w:r>
            <w:r w:rsidRPr="00FD61A1">
              <w:rPr>
                <w:rtl/>
              </w:rPr>
              <w:t xml:space="preserve"> </w:t>
            </w:r>
            <w:r w:rsidRPr="00FD61A1">
              <w:rPr>
                <w:rFonts w:hint="eastAsia"/>
                <w:rtl/>
              </w:rPr>
              <w:t>ליד</w:t>
            </w:r>
            <w:r w:rsidRPr="00FD61A1">
              <w:rPr>
                <w:rtl/>
              </w:rPr>
              <w:t xml:space="preserve"> </w:t>
            </w:r>
            <w:r w:rsidRPr="00FD61A1">
              <w:rPr>
                <w:rFonts w:hint="eastAsia"/>
                <w:rtl/>
              </w:rPr>
              <w:t>בית</w:t>
            </w:r>
            <w:r w:rsidRPr="00FD61A1">
              <w:rPr>
                <w:rtl/>
              </w:rPr>
              <w:t xml:space="preserve"> </w:t>
            </w:r>
            <w:r w:rsidRPr="00FD61A1">
              <w:rPr>
                <w:rFonts w:hint="eastAsia"/>
                <w:rtl/>
              </w:rPr>
              <w:t>מגורים</w:t>
            </w:r>
            <w:r w:rsidRPr="00FD61A1">
              <w:t xml:space="preserve"> </w:t>
            </w:r>
          </w:p>
        </w:tc>
        <w:tc>
          <w:tcPr>
            <w:tcW w:w="624" w:type="dxa"/>
          </w:tcPr>
          <w:p w14:paraId="0DA67974" w14:textId="77777777" w:rsidR="00C711B3" w:rsidRDefault="00C711B3" w:rsidP="002D61E3">
            <w:pPr>
              <w:pStyle w:val="TableText"/>
            </w:pPr>
            <w:r w:rsidRPr="00FD61A1">
              <w:rPr>
                <w:rtl/>
              </w:rPr>
              <w:t>85א.</w:t>
            </w:r>
          </w:p>
        </w:tc>
        <w:tc>
          <w:tcPr>
            <w:tcW w:w="4648" w:type="dxa"/>
            <w:gridSpan w:val="2"/>
          </w:tcPr>
          <w:p w14:paraId="468E0393" w14:textId="77777777" w:rsidR="00C711B3" w:rsidRDefault="00C711B3" w:rsidP="002D61E3">
            <w:pPr>
              <w:pStyle w:val="TableBlock"/>
            </w:pPr>
            <w:r w:rsidRPr="005417BA">
              <w:rPr>
                <w:rFonts w:hint="cs"/>
                <w:rtl/>
              </w:rPr>
              <w:t>(א</w:t>
            </w:r>
            <w:r>
              <w:rPr>
                <w:rtl/>
              </w:rPr>
              <w:t>)</w:t>
            </w:r>
            <w:r>
              <w:rPr>
                <w:rtl/>
              </w:rPr>
              <w:tab/>
              <w:t>בסעיף זה, "הפגנה ליד בית מגורים" - אסיפה או תהלוכה ליד בית מגורים, שמטרתה היא למחות נגד מעשה של אדם המתגורר באותו בית מגורים או לגרום לו לעשות מעשה או להימנע מעשיית מעשה, בעניין הנוגע לביצוע תפקידו הציבורי או לשירות שהוא נותן לציבור, או משמרת מחאה</w:t>
            </w:r>
            <w:r>
              <w:t>.</w:t>
            </w:r>
          </w:p>
        </w:tc>
      </w:tr>
      <w:tr w:rsidR="00C711B3" w14:paraId="665C3F22" w14:textId="77777777" w:rsidTr="002D61E3">
        <w:trPr>
          <w:cantSplit/>
          <w:trHeight w:val="60"/>
        </w:trPr>
        <w:tc>
          <w:tcPr>
            <w:tcW w:w="1869" w:type="dxa"/>
          </w:tcPr>
          <w:p w14:paraId="1D38A735" w14:textId="77777777" w:rsidR="00C711B3" w:rsidRDefault="00C711B3" w:rsidP="002D61E3">
            <w:pPr>
              <w:pStyle w:val="TableSideHeading"/>
            </w:pPr>
          </w:p>
        </w:tc>
        <w:tc>
          <w:tcPr>
            <w:tcW w:w="623" w:type="dxa"/>
          </w:tcPr>
          <w:p w14:paraId="21736DA1" w14:textId="77777777" w:rsidR="00C711B3" w:rsidRDefault="00C711B3" w:rsidP="002D61E3">
            <w:pPr>
              <w:pStyle w:val="TableText"/>
            </w:pPr>
          </w:p>
        </w:tc>
        <w:tc>
          <w:tcPr>
            <w:tcW w:w="624" w:type="dxa"/>
          </w:tcPr>
          <w:p w14:paraId="64417701" w14:textId="77777777" w:rsidR="00C711B3" w:rsidRDefault="00C711B3" w:rsidP="002D61E3">
            <w:pPr>
              <w:pStyle w:val="TableText"/>
            </w:pPr>
          </w:p>
        </w:tc>
        <w:tc>
          <w:tcPr>
            <w:tcW w:w="624" w:type="dxa"/>
          </w:tcPr>
          <w:p w14:paraId="3E7F4013" w14:textId="77777777" w:rsidR="00C711B3" w:rsidRDefault="00C711B3" w:rsidP="002D61E3">
            <w:pPr>
              <w:pStyle w:val="TableText"/>
            </w:pPr>
          </w:p>
        </w:tc>
        <w:tc>
          <w:tcPr>
            <w:tcW w:w="624" w:type="dxa"/>
          </w:tcPr>
          <w:p w14:paraId="32C9E328" w14:textId="77777777" w:rsidR="00C711B3" w:rsidRDefault="00C711B3" w:rsidP="002D61E3">
            <w:pPr>
              <w:pStyle w:val="TableText"/>
            </w:pPr>
          </w:p>
        </w:tc>
        <w:tc>
          <w:tcPr>
            <w:tcW w:w="624" w:type="dxa"/>
          </w:tcPr>
          <w:p w14:paraId="061C4F99" w14:textId="77777777" w:rsidR="00C711B3" w:rsidRDefault="00C711B3" w:rsidP="002D61E3">
            <w:pPr>
              <w:pStyle w:val="TableText"/>
            </w:pPr>
          </w:p>
        </w:tc>
        <w:tc>
          <w:tcPr>
            <w:tcW w:w="4648" w:type="dxa"/>
            <w:gridSpan w:val="2"/>
          </w:tcPr>
          <w:p w14:paraId="072660CD" w14:textId="77777777" w:rsidR="00C711B3" w:rsidRDefault="00C711B3" w:rsidP="002D61E3">
            <w:pPr>
              <w:pStyle w:val="TableBlock"/>
            </w:pPr>
            <w:r>
              <w:rPr>
                <w:rFonts w:hint="cs"/>
                <w:rtl/>
              </w:rPr>
              <w:t>ב)</w:t>
            </w:r>
            <w:r>
              <w:rPr>
                <w:rtl/>
              </w:rPr>
              <w:tab/>
              <w:t>מפקד המחוז לא ייתן רישיון לפי סעיף 85 לקיום הפגנה ליד בית מגורים, אלא אם כן נוכח כי לא ניתן לקיימה במקום מתאים אחר</w:t>
            </w:r>
            <w:r>
              <w:rPr>
                <w:rFonts w:hint="cs"/>
                <w:rtl/>
              </w:rPr>
              <w:t>.</w:t>
            </w:r>
          </w:p>
        </w:tc>
      </w:tr>
      <w:tr w:rsidR="00C711B3" w14:paraId="4D6596A2" w14:textId="77777777" w:rsidTr="002D61E3">
        <w:trPr>
          <w:cantSplit/>
          <w:trHeight w:val="60"/>
        </w:trPr>
        <w:tc>
          <w:tcPr>
            <w:tcW w:w="1869" w:type="dxa"/>
          </w:tcPr>
          <w:p w14:paraId="7BEEF110" w14:textId="77777777" w:rsidR="00C711B3" w:rsidRDefault="00C711B3" w:rsidP="002D61E3">
            <w:pPr>
              <w:pStyle w:val="TableSideHeading"/>
            </w:pPr>
          </w:p>
        </w:tc>
        <w:tc>
          <w:tcPr>
            <w:tcW w:w="623" w:type="dxa"/>
          </w:tcPr>
          <w:p w14:paraId="18A2DA5E" w14:textId="77777777" w:rsidR="00C711B3" w:rsidRDefault="00C711B3" w:rsidP="002D61E3">
            <w:pPr>
              <w:pStyle w:val="TableText"/>
            </w:pPr>
          </w:p>
        </w:tc>
        <w:tc>
          <w:tcPr>
            <w:tcW w:w="624" w:type="dxa"/>
          </w:tcPr>
          <w:p w14:paraId="3A9FFCD3" w14:textId="77777777" w:rsidR="00C711B3" w:rsidRDefault="00C711B3" w:rsidP="002D61E3">
            <w:pPr>
              <w:pStyle w:val="TableText"/>
            </w:pPr>
          </w:p>
        </w:tc>
        <w:tc>
          <w:tcPr>
            <w:tcW w:w="624" w:type="dxa"/>
          </w:tcPr>
          <w:p w14:paraId="26B2F8BB" w14:textId="77777777" w:rsidR="00C711B3" w:rsidRDefault="00C711B3" w:rsidP="002D61E3">
            <w:pPr>
              <w:pStyle w:val="TableText"/>
            </w:pPr>
          </w:p>
        </w:tc>
        <w:tc>
          <w:tcPr>
            <w:tcW w:w="624" w:type="dxa"/>
          </w:tcPr>
          <w:p w14:paraId="3AFCDBC0" w14:textId="77777777" w:rsidR="00C711B3" w:rsidRDefault="00C711B3" w:rsidP="002D61E3">
            <w:pPr>
              <w:pStyle w:val="TableText"/>
            </w:pPr>
          </w:p>
        </w:tc>
        <w:tc>
          <w:tcPr>
            <w:tcW w:w="624" w:type="dxa"/>
          </w:tcPr>
          <w:p w14:paraId="118728F9" w14:textId="77777777" w:rsidR="00C711B3" w:rsidRDefault="00C711B3" w:rsidP="002D61E3">
            <w:pPr>
              <w:pStyle w:val="TableText"/>
            </w:pPr>
          </w:p>
        </w:tc>
        <w:tc>
          <w:tcPr>
            <w:tcW w:w="4648" w:type="dxa"/>
            <w:gridSpan w:val="2"/>
          </w:tcPr>
          <w:p w14:paraId="093B923B" w14:textId="77777777" w:rsidR="00C711B3" w:rsidRPr="00FD61A1" w:rsidRDefault="00C711B3" w:rsidP="002D61E3">
            <w:pPr>
              <w:pStyle w:val="TableBlock"/>
              <w:rPr>
                <w:rtl/>
              </w:rPr>
            </w:pPr>
            <w:r>
              <w:rPr>
                <w:rFonts w:hint="cs"/>
                <w:rtl/>
              </w:rPr>
              <w:t>(ג)</w:t>
            </w:r>
            <w:r>
              <w:rPr>
                <w:rFonts w:hint="cs"/>
              </w:rPr>
              <w:t xml:space="preserve"> </w:t>
            </w:r>
            <w:r>
              <w:rPr>
                <w:rtl/>
              </w:rPr>
              <w:tab/>
              <w:t xml:space="preserve">החליט מפקד המחוז לתת רישיון לפי סעיף 85 ,לקיום הפגנה ליד בית מגורים, יקבע תנאים ברישיון, ובין השאר </w:t>
            </w:r>
            <w:r>
              <w:rPr>
                <w:rFonts w:hint="cs"/>
                <w:rtl/>
              </w:rPr>
              <w:t>יוגבלו ה</w:t>
            </w:r>
            <w:r>
              <w:rPr>
                <w:rtl/>
              </w:rPr>
              <w:t>תנאים בעניינים אלה</w:t>
            </w:r>
            <w:r>
              <w:t>:</w:t>
            </w:r>
          </w:p>
        </w:tc>
      </w:tr>
      <w:tr w:rsidR="00C711B3" w14:paraId="77A4C160" w14:textId="77777777" w:rsidTr="002D61E3">
        <w:trPr>
          <w:cantSplit/>
          <w:trHeight w:val="60"/>
        </w:trPr>
        <w:tc>
          <w:tcPr>
            <w:tcW w:w="1869" w:type="dxa"/>
          </w:tcPr>
          <w:p w14:paraId="4D509D57" w14:textId="77777777" w:rsidR="00C711B3" w:rsidRDefault="00C711B3" w:rsidP="002D61E3">
            <w:pPr>
              <w:pStyle w:val="TableSideHeading"/>
            </w:pPr>
          </w:p>
        </w:tc>
        <w:tc>
          <w:tcPr>
            <w:tcW w:w="623" w:type="dxa"/>
          </w:tcPr>
          <w:p w14:paraId="28B1004D" w14:textId="77777777" w:rsidR="00C711B3" w:rsidRDefault="00C711B3" w:rsidP="002D61E3">
            <w:pPr>
              <w:pStyle w:val="TableText"/>
            </w:pPr>
          </w:p>
        </w:tc>
        <w:tc>
          <w:tcPr>
            <w:tcW w:w="624" w:type="dxa"/>
          </w:tcPr>
          <w:p w14:paraId="296560D1" w14:textId="77777777" w:rsidR="00C711B3" w:rsidRDefault="00C711B3" w:rsidP="002D61E3">
            <w:pPr>
              <w:pStyle w:val="TableText"/>
            </w:pPr>
          </w:p>
        </w:tc>
        <w:tc>
          <w:tcPr>
            <w:tcW w:w="624" w:type="dxa"/>
          </w:tcPr>
          <w:p w14:paraId="313FF969" w14:textId="77777777" w:rsidR="00C711B3" w:rsidRDefault="00C711B3" w:rsidP="002D61E3">
            <w:pPr>
              <w:pStyle w:val="TableText"/>
            </w:pPr>
          </w:p>
        </w:tc>
        <w:tc>
          <w:tcPr>
            <w:tcW w:w="624" w:type="dxa"/>
          </w:tcPr>
          <w:p w14:paraId="7E4FEF8E" w14:textId="77777777" w:rsidR="00C711B3" w:rsidRDefault="00C711B3" w:rsidP="002D61E3">
            <w:pPr>
              <w:pStyle w:val="TableText"/>
            </w:pPr>
          </w:p>
        </w:tc>
        <w:tc>
          <w:tcPr>
            <w:tcW w:w="624" w:type="dxa"/>
          </w:tcPr>
          <w:p w14:paraId="5BA6268D" w14:textId="77777777" w:rsidR="00C711B3" w:rsidRDefault="00C711B3" w:rsidP="002D61E3">
            <w:pPr>
              <w:pStyle w:val="TableText"/>
            </w:pPr>
          </w:p>
        </w:tc>
        <w:tc>
          <w:tcPr>
            <w:tcW w:w="624" w:type="dxa"/>
          </w:tcPr>
          <w:p w14:paraId="1021D4C1" w14:textId="77777777" w:rsidR="00C711B3" w:rsidRDefault="00C711B3" w:rsidP="002D61E3">
            <w:pPr>
              <w:pStyle w:val="TableText"/>
            </w:pPr>
          </w:p>
        </w:tc>
        <w:tc>
          <w:tcPr>
            <w:tcW w:w="4024" w:type="dxa"/>
          </w:tcPr>
          <w:p w14:paraId="7CEBA84E" w14:textId="77777777" w:rsidR="00C711B3" w:rsidRDefault="00C711B3" w:rsidP="002D61E3">
            <w:pPr>
              <w:pStyle w:val="TableBlock"/>
            </w:pPr>
            <w:r w:rsidRPr="006A47BC">
              <w:rPr>
                <w:rFonts w:hint="cs"/>
                <w:rtl/>
              </w:rPr>
              <w:t>(1</w:t>
            </w:r>
            <w:r>
              <w:rPr>
                <w:rFonts w:hint="cs"/>
                <w:rtl/>
              </w:rPr>
              <w:t>)</w:t>
            </w:r>
            <w:r>
              <w:rPr>
                <w:rFonts w:hint="cs"/>
                <w:rtl/>
              </w:rPr>
              <w:tab/>
              <w:t>מועד קיום ההפגנה, ובלבד שלא תתקיים ולא תימשך לאחר השעה 21:00;</w:t>
            </w:r>
          </w:p>
        </w:tc>
      </w:tr>
      <w:tr w:rsidR="00C711B3" w14:paraId="4F8F9CC5" w14:textId="77777777" w:rsidTr="002D61E3">
        <w:trPr>
          <w:cantSplit/>
          <w:trHeight w:val="60"/>
        </w:trPr>
        <w:tc>
          <w:tcPr>
            <w:tcW w:w="1869" w:type="dxa"/>
          </w:tcPr>
          <w:p w14:paraId="069B889F" w14:textId="77777777" w:rsidR="00C711B3" w:rsidRDefault="00C711B3" w:rsidP="002D61E3">
            <w:pPr>
              <w:pStyle w:val="TableSideHeading"/>
            </w:pPr>
          </w:p>
        </w:tc>
        <w:tc>
          <w:tcPr>
            <w:tcW w:w="623" w:type="dxa"/>
          </w:tcPr>
          <w:p w14:paraId="17D50246" w14:textId="77777777" w:rsidR="00C711B3" w:rsidRDefault="00C711B3" w:rsidP="002D61E3">
            <w:pPr>
              <w:pStyle w:val="TableText"/>
            </w:pPr>
          </w:p>
        </w:tc>
        <w:tc>
          <w:tcPr>
            <w:tcW w:w="624" w:type="dxa"/>
          </w:tcPr>
          <w:p w14:paraId="61C4E7FB" w14:textId="77777777" w:rsidR="00C711B3" w:rsidRDefault="00C711B3" w:rsidP="002D61E3">
            <w:pPr>
              <w:pStyle w:val="TableText"/>
            </w:pPr>
          </w:p>
        </w:tc>
        <w:tc>
          <w:tcPr>
            <w:tcW w:w="624" w:type="dxa"/>
          </w:tcPr>
          <w:p w14:paraId="5A047CFF" w14:textId="77777777" w:rsidR="00C711B3" w:rsidRDefault="00C711B3" w:rsidP="002D61E3">
            <w:pPr>
              <w:pStyle w:val="TableText"/>
            </w:pPr>
          </w:p>
        </w:tc>
        <w:tc>
          <w:tcPr>
            <w:tcW w:w="624" w:type="dxa"/>
          </w:tcPr>
          <w:p w14:paraId="793C234B" w14:textId="77777777" w:rsidR="00C711B3" w:rsidRDefault="00C711B3" w:rsidP="002D61E3">
            <w:pPr>
              <w:pStyle w:val="TableText"/>
            </w:pPr>
          </w:p>
        </w:tc>
        <w:tc>
          <w:tcPr>
            <w:tcW w:w="624" w:type="dxa"/>
          </w:tcPr>
          <w:p w14:paraId="1322DA3A" w14:textId="77777777" w:rsidR="00C711B3" w:rsidRDefault="00C711B3" w:rsidP="002D61E3">
            <w:pPr>
              <w:pStyle w:val="TableText"/>
            </w:pPr>
          </w:p>
        </w:tc>
        <w:tc>
          <w:tcPr>
            <w:tcW w:w="624" w:type="dxa"/>
          </w:tcPr>
          <w:p w14:paraId="3B1A9ECA" w14:textId="77777777" w:rsidR="00C711B3" w:rsidRDefault="00C711B3" w:rsidP="002D61E3">
            <w:pPr>
              <w:pStyle w:val="TableText"/>
            </w:pPr>
          </w:p>
        </w:tc>
        <w:tc>
          <w:tcPr>
            <w:tcW w:w="4024" w:type="dxa"/>
          </w:tcPr>
          <w:p w14:paraId="074A7C4F" w14:textId="77777777" w:rsidR="00C711B3" w:rsidRPr="009036E8" w:rsidRDefault="00C711B3" w:rsidP="002D61E3">
            <w:pPr>
              <w:pStyle w:val="TableBlock"/>
            </w:pPr>
            <w:r w:rsidRPr="009036E8">
              <w:rPr>
                <w:rtl/>
              </w:rPr>
              <w:t>(2)</w:t>
            </w:r>
            <w:r w:rsidRPr="009036E8">
              <w:rPr>
                <w:rtl/>
              </w:rPr>
              <w:tab/>
            </w:r>
            <w:r w:rsidRPr="009036E8">
              <w:rPr>
                <w:rFonts w:hint="eastAsia"/>
                <w:rtl/>
              </w:rPr>
              <w:t>משך</w:t>
            </w:r>
            <w:r w:rsidRPr="009036E8">
              <w:rPr>
                <w:rtl/>
              </w:rPr>
              <w:t xml:space="preserve"> ההפגנה </w:t>
            </w:r>
            <w:r w:rsidRPr="0070496C">
              <w:rPr>
                <w:rFonts w:hint="eastAsia"/>
                <w:rtl/>
              </w:rPr>
              <w:t>ובלבד</w:t>
            </w:r>
            <w:r w:rsidRPr="0070496C">
              <w:rPr>
                <w:rtl/>
              </w:rPr>
              <w:t xml:space="preserve"> </w:t>
            </w:r>
            <w:r w:rsidRPr="0070496C">
              <w:rPr>
                <w:rFonts w:hint="eastAsia"/>
                <w:rtl/>
              </w:rPr>
              <w:t>ש</w:t>
            </w:r>
            <w:r w:rsidRPr="009036E8">
              <w:rPr>
                <w:rFonts w:hint="eastAsia"/>
                <w:rtl/>
              </w:rPr>
              <w:t>לא</w:t>
            </w:r>
            <w:r w:rsidRPr="009036E8">
              <w:rPr>
                <w:rtl/>
              </w:rPr>
              <w:t xml:space="preserve"> </w:t>
            </w:r>
            <w:r w:rsidRPr="009036E8">
              <w:rPr>
                <w:rFonts w:hint="eastAsia"/>
                <w:rtl/>
              </w:rPr>
              <w:t>יעלה</w:t>
            </w:r>
            <w:r w:rsidRPr="009036E8">
              <w:rPr>
                <w:rtl/>
              </w:rPr>
              <w:t xml:space="preserve"> </w:t>
            </w:r>
            <w:r w:rsidRPr="009036E8">
              <w:rPr>
                <w:rFonts w:hint="eastAsia"/>
                <w:rtl/>
              </w:rPr>
              <w:t>על</w:t>
            </w:r>
            <w:r w:rsidRPr="009036E8">
              <w:rPr>
                <w:rtl/>
              </w:rPr>
              <w:t xml:space="preserve"> </w:t>
            </w:r>
            <w:r w:rsidRPr="009036E8">
              <w:rPr>
                <w:rFonts w:hint="eastAsia"/>
                <w:rtl/>
              </w:rPr>
              <w:t>שעה</w:t>
            </w:r>
            <w:r w:rsidRPr="009036E8">
              <w:rPr>
                <w:rtl/>
              </w:rPr>
              <w:t xml:space="preserve"> </w:t>
            </w:r>
            <w:r w:rsidRPr="009036E8">
              <w:rPr>
                <w:rFonts w:hint="eastAsia"/>
                <w:rtl/>
              </w:rPr>
              <w:t>וחצי</w:t>
            </w:r>
            <w:r w:rsidRPr="009036E8">
              <w:rPr>
                <w:rtl/>
              </w:rPr>
              <w:t>;</w:t>
            </w:r>
          </w:p>
        </w:tc>
      </w:tr>
      <w:tr w:rsidR="00C711B3" w14:paraId="36A2AA7C" w14:textId="77777777" w:rsidTr="002D61E3">
        <w:trPr>
          <w:cantSplit/>
          <w:trHeight w:val="60"/>
        </w:trPr>
        <w:tc>
          <w:tcPr>
            <w:tcW w:w="1869" w:type="dxa"/>
          </w:tcPr>
          <w:p w14:paraId="537E02A3" w14:textId="77777777" w:rsidR="00C711B3" w:rsidRDefault="00C711B3" w:rsidP="002D61E3">
            <w:pPr>
              <w:pStyle w:val="TableSideHeading"/>
            </w:pPr>
          </w:p>
        </w:tc>
        <w:tc>
          <w:tcPr>
            <w:tcW w:w="623" w:type="dxa"/>
          </w:tcPr>
          <w:p w14:paraId="24381596" w14:textId="77777777" w:rsidR="00C711B3" w:rsidRDefault="00C711B3" w:rsidP="002D61E3">
            <w:pPr>
              <w:pStyle w:val="TableText"/>
            </w:pPr>
          </w:p>
        </w:tc>
        <w:tc>
          <w:tcPr>
            <w:tcW w:w="624" w:type="dxa"/>
          </w:tcPr>
          <w:p w14:paraId="16A0E453" w14:textId="77777777" w:rsidR="00C711B3" w:rsidRDefault="00C711B3" w:rsidP="002D61E3">
            <w:pPr>
              <w:pStyle w:val="TableText"/>
            </w:pPr>
          </w:p>
        </w:tc>
        <w:tc>
          <w:tcPr>
            <w:tcW w:w="624" w:type="dxa"/>
          </w:tcPr>
          <w:p w14:paraId="35640CE9" w14:textId="77777777" w:rsidR="00C711B3" w:rsidRDefault="00C711B3" w:rsidP="002D61E3">
            <w:pPr>
              <w:pStyle w:val="TableText"/>
            </w:pPr>
          </w:p>
        </w:tc>
        <w:tc>
          <w:tcPr>
            <w:tcW w:w="624" w:type="dxa"/>
          </w:tcPr>
          <w:p w14:paraId="5A50086E" w14:textId="77777777" w:rsidR="00C711B3" w:rsidRDefault="00C711B3" w:rsidP="002D61E3">
            <w:pPr>
              <w:pStyle w:val="TableText"/>
            </w:pPr>
          </w:p>
        </w:tc>
        <w:tc>
          <w:tcPr>
            <w:tcW w:w="624" w:type="dxa"/>
          </w:tcPr>
          <w:p w14:paraId="4B60503B" w14:textId="77777777" w:rsidR="00C711B3" w:rsidRDefault="00C711B3" w:rsidP="002D61E3">
            <w:pPr>
              <w:pStyle w:val="TableText"/>
            </w:pPr>
          </w:p>
        </w:tc>
        <w:tc>
          <w:tcPr>
            <w:tcW w:w="624" w:type="dxa"/>
          </w:tcPr>
          <w:p w14:paraId="48F2D355" w14:textId="77777777" w:rsidR="00C711B3" w:rsidRDefault="00C711B3" w:rsidP="002D61E3">
            <w:pPr>
              <w:pStyle w:val="TableText"/>
            </w:pPr>
          </w:p>
        </w:tc>
        <w:tc>
          <w:tcPr>
            <w:tcW w:w="4024" w:type="dxa"/>
          </w:tcPr>
          <w:p w14:paraId="26A22CF0" w14:textId="77777777" w:rsidR="00C711B3" w:rsidRPr="009036E8" w:rsidRDefault="00C711B3" w:rsidP="002D61E3">
            <w:pPr>
              <w:pStyle w:val="TableBlock"/>
            </w:pPr>
            <w:r w:rsidRPr="009036E8">
              <w:rPr>
                <w:rtl/>
              </w:rPr>
              <w:t>(3)</w:t>
            </w:r>
            <w:r w:rsidRPr="009036E8">
              <w:rPr>
                <w:rtl/>
              </w:rPr>
              <w:tab/>
            </w:r>
            <w:r w:rsidRPr="009036E8">
              <w:rPr>
                <w:rFonts w:hint="eastAsia"/>
                <w:rtl/>
              </w:rPr>
              <w:t>המרחק</w:t>
            </w:r>
            <w:r w:rsidRPr="009036E8">
              <w:rPr>
                <w:rtl/>
              </w:rPr>
              <w:t xml:space="preserve"> </w:t>
            </w:r>
            <w:r w:rsidRPr="009036E8">
              <w:rPr>
                <w:rFonts w:hint="eastAsia"/>
                <w:rtl/>
              </w:rPr>
              <w:t>מבית</w:t>
            </w:r>
            <w:r w:rsidRPr="009036E8">
              <w:rPr>
                <w:rtl/>
              </w:rPr>
              <w:t xml:space="preserve"> </w:t>
            </w:r>
            <w:r w:rsidRPr="009036E8">
              <w:rPr>
                <w:rFonts w:hint="eastAsia"/>
                <w:rtl/>
              </w:rPr>
              <w:t>המגורים</w:t>
            </w:r>
            <w:r w:rsidRPr="009036E8">
              <w:rPr>
                <w:rtl/>
              </w:rPr>
              <w:t>;</w:t>
            </w:r>
          </w:p>
        </w:tc>
      </w:tr>
      <w:tr w:rsidR="00C711B3" w14:paraId="651D7C34" w14:textId="77777777" w:rsidTr="002D61E3">
        <w:trPr>
          <w:cantSplit/>
          <w:trHeight w:val="60"/>
        </w:trPr>
        <w:tc>
          <w:tcPr>
            <w:tcW w:w="1869" w:type="dxa"/>
          </w:tcPr>
          <w:p w14:paraId="197332D6" w14:textId="77777777" w:rsidR="00C711B3" w:rsidRDefault="00C711B3" w:rsidP="002D61E3">
            <w:pPr>
              <w:pStyle w:val="TableSideHeading"/>
            </w:pPr>
          </w:p>
        </w:tc>
        <w:tc>
          <w:tcPr>
            <w:tcW w:w="623" w:type="dxa"/>
          </w:tcPr>
          <w:p w14:paraId="737202C5" w14:textId="77777777" w:rsidR="00C711B3" w:rsidRDefault="00C711B3" w:rsidP="002D61E3">
            <w:pPr>
              <w:pStyle w:val="TableText"/>
            </w:pPr>
          </w:p>
        </w:tc>
        <w:tc>
          <w:tcPr>
            <w:tcW w:w="624" w:type="dxa"/>
          </w:tcPr>
          <w:p w14:paraId="77E14742" w14:textId="77777777" w:rsidR="00C711B3" w:rsidRDefault="00C711B3" w:rsidP="002D61E3">
            <w:pPr>
              <w:pStyle w:val="TableText"/>
            </w:pPr>
          </w:p>
        </w:tc>
        <w:tc>
          <w:tcPr>
            <w:tcW w:w="624" w:type="dxa"/>
          </w:tcPr>
          <w:p w14:paraId="1877AD62" w14:textId="77777777" w:rsidR="00C711B3" w:rsidRDefault="00C711B3" w:rsidP="002D61E3">
            <w:pPr>
              <w:pStyle w:val="TableText"/>
            </w:pPr>
          </w:p>
        </w:tc>
        <w:tc>
          <w:tcPr>
            <w:tcW w:w="624" w:type="dxa"/>
          </w:tcPr>
          <w:p w14:paraId="42434C90" w14:textId="77777777" w:rsidR="00C711B3" w:rsidRDefault="00C711B3" w:rsidP="002D61E3">
            <w:pPr>
              <w:pStyle w:val="TableText"/>
            </w:pPr>
          </w:p>
        </w:tc>
        <w:tc>
          <w:tcPr>
            <w:tcW w:w="624" w:type="dxa"/>
          </w:tcPr>
          <w:p w14:paraId="2ADD007D" w14:textId="77777777" w:rsidR="00C711B3" w:rsidRDefault="00C711B3" w:rsidP="002D61E3">
            <w:pPr>
              <w:pStyle w:val="TableText"/>
            </w:pPr>
          </w:p>
        </w:tc>
        <w:tc>
          <w:tcPr>
            <w:tcW w:w="624" w:type="dxa"/>
          </w:tcPr>
          <w:p w14:paraId="7B687C85" w14:textId="77777777" w:rsidR="00C711B3" w:rsidRDefault="00C711B3" w:rsidP="002D61E3">
            <w:pPr>
              <w:pStyle w:val="TableText"/>
            </w:pPr>
          </w:p>
        </w:tc>
        <w:tc>
          <w:tcPr>
            <w:tcW w:w="4024" w:type="dxa"/>
          </w:tcPr>
          <w:p w14:paraId="727DF499" w14:textId="77777777" w:rsidR="00C711B3" w:rsidRPr="009036E8" w:rsidRDefault="00C711B3" w:rsidP="002D61E3">
            <w:pPr>
              <w:pStyle w:val="TableBlock"/>
            </w:pPr>
            <w:r w:rsidRPr="009036E8">
              <w:rPr>
                <w:rtl/>
              </w:rPr>
              <w:t>(4)</w:t>
            </w:r>
            <w:r w:rsidRPr="009036E8">
              <w:tab/>
            </w:r>
            <w:r w:rsidRPr="009036E8">
              <w:rPr>
                <w:rFonts w:hint="eastAsia"/>
                <w:rtl/>
              </w:rPr>
              <w:t>כמות</w:t>
            </w:r>
            <w:r w:rsidRPr="009036E8">
              <w:rPr>
                <w:rtl/>
              </w:rPr>
              <w:t xml:space="preserve"> המשתתפים בהפגנה </w:t>
            </w:r>
            <w:r w:rsidRPr="0070496C">
              <w:rPr>
                <w:rFonts w:hint="eastAsia"/>
                <w:rtl/>
              </w:rPr>
              <w:t>ובלבד</w:t>
            </w:r>
            <w:r w:rsidRPr="0070496C">
              <w:rPr>
                <w:rtl/>
              </w:rPr>
              <w:t xml:space="preserve"> </w:t>
            </w:r>
            <w:r w:rsidRPr="0070496C">
              <w:rPr>
                <w:rFonts w:hint="eastAsia"/>
                <w:rtl/>
              </w:rPr>
              <w:t>ש</w:t>
            </w:r>
            <w:r w:rsidRPr="009036E8">
              <w:rPr>
                <w:rFonts w:hint="eastAsia"/>
                <w:rtl/>
              </w:rPr>
              <w:t>לא</w:t>
            </w:r>
            <w:r w:rsidRPr="009036E8">
              <w:rPr>
                <w:rtl/>
              </w:rPr>
              <w:t xml:space="preserve"> </w:t>
            </w:r>
            <w:r w:rsidRPr="009036E8">
              <w:rPr>
                <w:rFonts w:hint="eastAsia"/>
                <w:rtl/>
              </w:rPr>
              <w:t>תעלה</w:t>
            </w:r>
            <w:r w:rsidRPr="009036E8">
              <w:rPr>
                <w:rtl/>
              </w:rPr>
              <w:t xml:space="preserve"> </w:t>
            </w:r>
            <w:r w:rsidRPr="009036E8">
              <w:rPr>
                <w:rFonts w:hint="eastAsia"/>
                <w:rtl/>
              </w:rPr>
              <w:t>על</w:t>
            </w:r>
            <w:r w:rsidRPr="009036E8">
              <w:rPr>
                <w:rtl/>
              </w:rPr>
              <w:t xml:space="preserve"> 500 </w:t>
            </w:r>
            <w:r w:rsidRPr="009036E8">
              <w:rPr>
                <w:rFonts w:hint="eastAsia"/>
                <w:rtl/>
              </w:rPr>
              <w:t>איש</w:t>
            </w:r>
            <w:r w:rsidRPr="009036E8">
              <w:rPr>
                <w:rtl/>
              </w:rPr>
              <w:t>.</w:t>
            </w:r>
          </w:p>
        </w:tc>
      </w:tr>
      <w:tr w:rsidR="00C711B3" w14:paraId="611332FB" w14:textId="77777777" w:rsidTr="002D61E3">
        <w:trPr>
          <w:cantSplit/>
          <w:trHeight w:val="60"/>
        </w:trPr>
        <w:tc>
          <w:tcPr>
            <w:tcW w:w="1869" w:type="dxa"/>
          </w:tcPr>
          <w:p w14:paraId="3732C303" w14:textId="77777777" w:rsidR="00C711B3" w:rsidRDefault="00C711B3" w:rsidP="002D61E3">
            <w:pPr>
              <w:pStyle w:val="TableSideHeading"/>
            </w:pPr>
          </w:p>
        </w:tc>
        <w:tc>
          <w:tcPr>
            <w:tcW w:w="623" w:type="dxa"/>
          </w:tcPr>
          <w:p w14:paraId="3170280D" w14:textId="77777777" w:rsidR="00C711B3" w:rsidRDefault="00C711B3" w:rsidP="002D61E3">
            <w:pPr>
              <w:pStyle w:val="TableText"/>
            </w:pPr>
          </w:p>
        </w:tc>
        <w:tc>
          <w:tcPr>
            <w:tcW w:w="624" w:type="dxa"/>
          </w:tcPr>
          <w:p w14:paraId="36BD4C05" w14:textId="77777777" w:rsidR="00C711B3" w:rsidRDefault="00C711B3" w:rsidP="002D61E3">
            <w:pPr>
              <w:pStyle w:val="TableText"/>
            </w:pPr>
          </w:p>
        </w:tc>
        <w:tc>
          <w:tcPr>
            <w:tcW w:w="624" w:type="dxa"/>
          </w:tcPr>
          <w:p w14:paraId="171A38BB" w14:textId="77777777" w:rsidR="00C711B3" w:rsidRDefault="00C711B3" w:rsidP="002D61E3">
            <w:pPr>
              <w:pStyle w:val="TableText"/>
            </w:pPr>
          </w:p>
        </w:tc>
        <w:tc>
          <w:tcPr>
            <w:tcW w:w="624" w:type="dxa"/>
          </w:tcPr>
          <w:p w14:paraId="63FF1A66" w14:textId="77777777" w:rsidR="00C711B3" w:rsidRDefault="00C711B3" w:rsidP="002D61E3">
            <w:pPr>
              <w:pStyle w:val="TableText"/>
            </w:pPr>
          </w:p>
        </w:tc>
        <w:tc>
          <w:tcPr>
            <w:tcW w:w="624" w:type="dxa"/>
          </w:tcPr>
          <w:p w14:paraId="4CA4AB4C" w14:textId="77777777" w:rsidR="00C711B3" w:rsidRDefault="00C711B3" w:rsidP="002D61E3">
            <w:pPr>
              <w:pStyle w:val="TableText"/>
            </w:pPr>
          </w:p>
        </w:tc>
        <w:tc>
          <w:tcPr>
            <w:tcW w:w="4648" w:type="dxa"/>
            <w:gridSpan w:val="2"/>
          </w:tcPr>
          <w:p w14:paraId="644C6031" w14:textId="77777777" w:rsidR="00C711B3" w:rsidRDefault="00C711B3" w:rsidP="002D61E3">
            <w:pPr>
              <w:pStyle w:val="TableBlock"/>
            </w:pPr>
            <w:r>
              <w:rPr>
                <w:rFonts w:hint="cs"/>
                <w:rtl/>
              </w:rPr>
              <w:t>(ד)</w:t>
            </w:r>
            <w:r>
              <w:rPr>
                <w:rtl/>
              </w:rPr>
              <w:tab/>
              <w:t xml:space="preserve"> בקביעת תנאים ברישיון, כאמור בסעיף </w:t>
            </w:r>
            <w:r>
              <w:rPr>
                <w:rFonts w:hint="cs"/>
                <w:rtl/>
              </w:rPr>
              <w:t>קטן (ג)</w:t>
            </w:r>
            <w:r>
              <w:rPr>
                <w:rtl/>
              </w:rPr>
              <w:t xml:space="preserve"> ישקול מפקד המחוז, בין השאר, את אל</w:t>
            </w:r>
            <w:r>
              <w:rPr>
                <w:rFonts w:hint="cs"/>
                <w:rtl/>
              </w:rPr>
              <w:t>ו:</w:t>
            </w:r>
          </w:p>
        </w:tc>
      </w:tr>
      <w:tr w:rsidR="00C711B3" w14:paraId="4057D142" w14:textId="77777777" w:rsidTr="002D61E3">
        <w:trPr>
          <w:cantSplit/>
          <w:trHeight w:val="60"/>
        </w:trPr>
        <w:tc>
          <w:tcPr>
            <w:tcW w:w="1869" w:type="dxa"/>
          </w:tcPr>
          <w:p w14:paraId="3897B8B3" w14:textId="77777777" w:rsidR="00C711B3" w:rsidRDefault="00C711B3" w:rsidP="002D61E3">
            <w:pPr>
              <w:pStyle w:val="TableSideHeading"/>
            </w:pPr>
          </w:p>
        </w:tc>
        <w:tc>
          <w:tcPr>
            <w:tcW w:w="623" w:type="dxa"/>
          </w:tcPr>
          <w:p w14:paraId="2F958BFC" w14:textId="77777777" w:rsidR="00C711B3" w:rsidRDefault="00C711B3" w:rsidP="002D61E3">
            <w:pPr>
              <w:pStyle w:val="TableText"/>
            </w:pPr>
          </w:p>
        </w:tc>
        <w:tc>
          <w:tcPr>
            <w:tcW w:w="624" w:type="dxa"/>
          </w:tcPr>
          <w:p w14:paraId="17281E0A" w14:textId="77777777" w:rsidR="00C711B3" w:rsidRDefault="00C711B3" w:rsidP="002D61E3">
            <w:pPr>
              <w:pStyle w:val="TableText"/>
            </w:pPr>
          </w:p>
        </w:tc>
        <w:tc>
          <w:tcPr>
            <w:tcW w:w="624" w:type="dxa"/>
          </w:tcPr>
          <w:p w14:paraId="791510CA" w14:textId="77777777" w:rsidR="00C711B3" w:rsidRDefault="00C711B3" w:rsidP="002D61E3">
            <w:pPr>
              <w:pStyle w:val="TableText"/>
            </w:pPr>
          </w:p>
        </w:tc>
        <w:tc>
          <w:tcPr>
            <w:tcW w:w="624" w:type="dxa"/>
          </w:tcPr>
          <w:p w14:paraId="38320733" w14:textId="77777777" w:rsidR="00C711B3" w:rsidRDefault="00C711B3" w:rsidP="002D61E3">
            <w:pPr>
              <w:pStyle w:val="TableText"/>
            </w:pPr>
          </w:p>
        </w:tc>
        <w:tc>
          <w:tcPr>
            <w:tcW w:w="624" w:type="dxa"/>
          </w:tcPr>
          <w:p w14:paraId="724B0611" w14:textId="77777777" w:rsidR="00C711B3" w:rsidRDefault="00C711B3" w:rsidP="002D61E3">
            <w:pPr>
              <w:pStyle w:val="TableText"/>
            </w:pPr>
          </w:p>
        </w:tc>
        <w:tc>
          <w:tcPr>
            <w:tcW w:w="624" w:type="dxa"/>
          </w:tcPr>
          <w:p w14:paraId="4334B283" w14:textId="77777777" w:rsidR="00C711B3" w:rsidRDefault="00C711B3" w:rsidP="002D61E3">
            <w:pPr>
              <w:pStyle w:val="TableText"/>
            </w:pPr>
          </w:p>
        </w:tc>
        <w:tc>
          <w:tcPr>
            <w:tcW w:w="4024" w:type="dxa"/>
          </w:tcPr>
          <w:p w14:paraId="57B11AA3" w14:textId="77777777" w:rsidR="00C711B3" w:rsidRDefault="00C711B3" w:rsidP="002D61E3">
            <w:pPr>
              <w:pStyle w:val="TableBlock"/>
            </w:pPr>
            <w:r w:rsidRPr="00825ECF">
              <w:rPr>
                <w:rFonts w:hint="cs"/>
                <w:rtl/>
              </w:rPr>
              <w:t>(1</w:t>
            </w:r>
            <w:r>
              <w:rPr>
                <w:rtl/>
              </w:rPr>
              <w:t>)</w:t>
            </w:r>
            <w:r>
              <w:rPr>
                <w:rtl/>
              </w:rPr>
              <w:tab/>
              <w:t>מידת הפגיעה בפרטיות ובחופש התנועה של האדם שכלפיו מופנית ההפגנה ליד בית מגורים</w:t>
            </w:r>
            <w:r>
              <w:rPr>
                <w:rFonts w:hint="cs"/>
                <w:rtl/>
              </w:rPr>
              <w:t xml:space="preserve">, </w:t>
            </w:r>
            <w:r>
              <w:rPr>
                <w:rtl/>
              </w:rPr>
              <w:t>ושל בני משפחתו, והמטרד שעשוי להיגרם לו ולבני משפחתו כתוצאה מקיום ההפגנה כאמור, וכן מידת הפגיעה והמטרד שעשויים להיגרם לאנשים אחרים המתגוררים באותו בית מגורים או בסמוך לו</w:t>
            </w:r>
            <w:r>
              <w:rPr>
                <w:rFonts w:hint="cs"/>
                <w:rtl/>
              </w:rPr>
              <w:t>;</w:t>
            </w:r>
          </w:p>
        </w:tc>
      </w:tr>
      <w:tr w:rsidR="00C711B3" w14:paraId="5682ACCE" w14:textId="77777777" w:rsidTr="002D61E3">
        <w:trPr>
          <w:cantSplit/>
          <w:trHeight w:val="60"/>
        </w:trPr>
        <w:tc>
          <w:tcPr>
            <w:tcW w:w="1869" w:type="dxa"/>
          </w:tcPr>
          <w:p w14:paraId="040395FD" w14:textId="77777777" w:rsidR="00C711B3" w:rsidRDefault="00C711B3" w:rsidP="002D61E3">
            <w:pPr>
              <w:pStyle w:val="TableSideHeading"/>
            </w:pPr>
          </w:p>
        </w:tc>
        <w:tc>
          <w:tcPr>
            <w:tcW w:w="623" w:type="dxa"/>
          </w:tcPr>
          <w:p w14:paraId="189DC98E" w14:textId="77777777" w:rsidR="00C711B3" w:rsidRDefault="00C711B3" w:rsidP="002D61E3">
            <w:pPr>
              <w:pStyle w:val="TableText"/>
            </w:pPr>
          </w:p>
        </w:tc>
        <w:tc>
          <w:tcPr>
            <w:tcW w:w="624" w:type="dxa"/>
          </w:tcPr>
          <w:p w14:paraId="7849FA5D" w14:textId="77777777" w:rsidR="00C711B3" w:rsidRDefault="00C711B3" w:rsidP="002D61E3">
            <w:pPr>
              <w:pStyle w:val="TableText"/>
            </w:pPr>
          </w:p>
        </w:tc>
        <w:tc>
          <w:tcPr>
            <w:tcW w:w="624" w:type="dxa"/>
          </w:tcPr>
          <w:p w14:paraId="4916C150" w14:textId="77777777" w:rsidR="00C711B3" w:rsidRDefault="00C711B3" w:rsidP="002D61E3">
            <w:pPr>
              <w:pStyle w:val="TableText"/>
            </w:pPr>
          </w:p>
        </w:tc>
        <w:tc>
          <w:tcPr>
            <w:tcW w:w="624" w:type="dxa"/>
          </w:tcPr>
          <w:p w14:paraId="0902F9E6" w14:textId="77777777" w:rsidR="00C711B3" w:rsidRDefault="00C711B3" w:rsidP="002D61E3">
            <w:pPr>
              <w:pStyle w:val="TableText"/>
            </w:pPr>
          </w:p>
        </w:tc>
        <w:tc>
          <w:tcPr>
            <w:tcW w:w="624" w:type="dxa"/>
          </w:tcPr>
          <w:p w14:paraId="5239AC3E" w14:textId="77777777" w:rsidR="00C711B3" w:rsidRDefault="00C711B3" w:rsidP="002D61E3">
            <w:pPr>
              <w:pStyle w:val="TableText"/>
            </w:pPr>
          </w:p>
        </w:tc>
        <w:tc>
          <w:tcPr>
            <w:tcW w:w="624" w:type="dxa"/>
          </w:tcPr>
          <w:p w14:paraId="0991AF80" w14:textId="77777777" w:rsidR="00C711B3" w:rsidRDefault="00C711B3" w:rsidP="002D61E3">
            <w:pPr>
              <w:pStyle w:val="TableText"/>
            </w:pPr>
          </w:p>
        </w:tc>
        <w:tc>
          <w:tcPr>
            <w:tcW w:w="4024" w:type="dxa"/>
          </w:tcPr>
          <w:p w14:paraId="35068756" w14:textId="77777777" w:rsidR="00C711B3" w:rsidRDefault="00C711B3" w:rsidP="002D61E3">
            <w:pPr>
              <w:pStyle w:val="TableBlock"/>
            </w:pPr>
            <w:r>
              <w:rPr>
                <w:rFonts w:hint="cs"/>
                <w:rtl/>
              </w:rPr>
              <w:t>(2)</w:t>
            </w:r>
            <w:r>
              <w:rPr>
                <w:rtl/>
              </w:rPr>
              <w:tab/>
            </w:r>
            <w:r>
              <w:rPr>
                <w:rFonts w:hint="cs"/>
                <w:rtl/>
              </w:rPr>
              <w:t>ק</w:t>
            </w:r>
            <w:r>
              <w:rPr>
                <w:rtl/>
              </w:rPr>
              <w:t>יומן של הפגנות ליד בית מגורים בסמוך לאותו בית מגורים, תדירותן, אופיין והיקפן</w:t>
            </w:r>
            <w:r>
              <w:rPr>
                <w:rFonts w:hint="cs"/>
                <w:rtl/>
              </w:rPr>
              <w:t>".</w:t>
            </w:r>
          </w:p>
        </w:tc>
      </w:tr>
      <w:tr w:rsidR="00C711B3" w14:paraId="780AC065" w14:textId="77777777" w:rsidTr="002D61E3">
        <w:trPr>
          <w:cantSplit/>
          <w:trHeight w:val="60"/>
        </w:trPr>
        <w:tc>
          <w:tcPr>
            <w:tcW w:w="1869" w:type="dxa"/>
          </w:tcPr>
          <w:p w14:paraId="6E2C4E5F" w14:textId="77777777" w:rsidR="00C711B3" w:rsidRDefault="00C711B3" w:rsidP="002D61E3">
            <w:pPr>
              <w:pStyle w:val="TableSideHeading"/>
            </w:pPr>
            <w:r>
              <w:rPr>
                <w:rFonts w:hint="cs"/>
                <w:rtl/>
              </w:rPr>
              <w:t>תיקון סעיף 87</w:t>
            </w:r>
          </w:p>
        </w:tc>
        <w:tc>
          <w:tcPr>
            <w:tcW w:w="623" w:type="dxa"/>
          </w:tcPr>
          <w:p w14:paraId="34C79629" w14:textId="77777777" w:rsidR="00C711B3" w:rsidRDefault="00C711B3" w:rsidP="002D61E3">
            <w:pPr>
              <w:pStyle w:val="TableText"/>
            </w:pPr>
            <w:r>
              <w:rPr>
                <w:rFonts w:hint="cs"/>
                <w:rtl/>
              </w:rPr>
              <w:t>7.</w:t>
            </w:r>
          </w:p>
        </w:tc>
        <w:tc>
          <w:tcPr>
            <w:tcW w:w="7144" w:type="dxa"/>
            <w:gridSpan w:val="6"/>
          </w:tcPr>
          <w:p w14:paraId="67D88247" w14:textId="77777777" w:rsidR="00C711B3" w:rsidRPr="00C34DE2" w:rsidRDefault="00C711B3" w:rsidP="002D61E3">
            <w:pPr>
              <w:pStyle w:val="TableBlock"/>
            </w:pPr>
            <w:r>
              <w:rPr>
                <w:rFonts w:hint="cs"/>
                <w:rtl/>
              </w:rPr>
              <w:t>בסעיף 87 לפקודה במקום "הממונה יבוא "מפקד המחוז".</w:t>
            </w:r>
          </w:p>
        </w:tc>
      </w:tr>
      <w:tr w:rsidR="00C711B3" w14:paraId="5BFF4004" w14:textId="77777777" w:rsidTr="002D61E3">
        <w:trPr>
          <w:cantSplit/>
          <w:trHeight w:val="60"/>
        </w:trPr>
        <w:tc>
          <w:tcPr>
            <w:tcW w:w="1869" w:type="dxa"/>
          </w:tcPr>
          <w:p w14:paraId="4F83E464" w14:textId="77777777" w:rsidR="00C711B3" w:rsidRDefault="00C711B3" w:rsidP="002D61E3">
            <w:pPr>
              <w:pStyle w:val="TableSideHeading"/>
              <w:rPr>
                <w:rtl/>
              </w:rPr>
            </w:pPr>
            <w:r>
              <w:rPr>
                <w:rFonts w:hint="cs"/>
                <w:rtl/>
              </w:rPr>
              <w:t>תיקון סעיף 88</w:t>
            </w:r>
          </w:p>
        </w:tc>
        <w:tc>
          <w:tcPr>
            <w:tcW w:w="623" w:type="dxa"/>
          </w:tcPr>
          <w:p w14:paraId="11DDBA5B" w14:textId="77777777" w:rsidR="00C711B3" w:rsidRDefault="00C711B3" w:rsidP="002D61E3">
            <w:pPr>
              <w:pStyle w:val="TableText"/>
              <w:rPr>
                <w:rtl/>
              </w:rPr>
            </w:pPr>
            <w:r>
              <w:rPr>
                <w:rFonts w:hint="cs"/>
                <w:rtl/>
              </w:rPr>
              <w:t>8.</w:t>
            </w:r>
          </w:p>
        </w:tc>
        <w:tc>
          <w:tcPr>
            <w:tcW w:w="7144" w:type="dxa"/>
            <w:gridSpan w:val="6"/>
          </w:tcPr>
          <w:p w14:paraId="0242E95D" w14:textId="77777777" w:rsidR="00C711B3" w:rsidRDefault="00C711B3" w:rsidP="002D61E3">
            <w:pPr>
              <w:pStyle w:val="TableBlock"/>
              <w:rPr>
                <w:rtl/>
              </w:rPr>
            </w:pPr>
            <w:r>
              <w:rPr>
                <w:rFonts w:hint="cs"/>
                <w:rtl/>
              </w:rPr>
              <w:t>בסעיף 88 לפקודה, ברישה, במקום "הממונה" יבוא "מפקד המחוז".</w:t>
            </w:r>
          </w:p>
        </w:tc>
      </w:tr>
      <w:tr w:rsidR="00C711B3" w14:paraId="4905B43E" w14:textId="77777777" w:rsidTr="002D61E3">
        <w:trPr>
          <w:cantSplit/>
          <w:trHeight w:val="60"/>
        </w:trPr>
        <w:tc>
          <w:tcPr>
            <w:tcW w:w="1869" w:type="dxa"/>
          </w:tcPr>
          <w:p w14:paraId="6A47D23D" w14:textId="77777777" w:rsidR="00C711B3" w:rsidRDefault="00C711B3" w:rsidP="002D61E3">
            <w:pPr>
              <w:pStyle w:val="TableSideHeading"/>
              <w:rPr>
                <w:rtl/>
              </w:rPr>
            </w:pPr>
            <w:r>
              <w:rPr>
                <w:rFonts w:hint="cs"/>
                <w:rtl/>
              </w:rPr>
              <w:t xml:space="preserve">החלפת סעיף 89 </w:t>
            </w:r>
          </w:p>
        </w:tc>
        <w:tc>
          <w:tcPr>
            <w:tcW w:w="623" w:type="dxa"/>
          </w:tcPr>
          <w:p w14:paraId="60595782" w14:textId="77777777" w:rsidR="00C711B3" w:rsidRDefault="00C711B3" w:rsidP="002D61E3">
            <w:pPr>
              <w:pStyle w:val="TableText"/>
              <w:rPr>
                <w:rtl/>
              </w:rPr>
            </w:pPr>
            <w:r>
              <w:rPr>
                <w:rFonts w:hint="cs"/>
                <w:rtl/>
              </w:rPr>
              <w:t>9.</w:t>
            </w:r>
          </w:p>
        </w:tc>
        <w:tc>
          <w:tcPr>
            <w:tcW w:w="7144" w:type="dxa"/>
            <w:gridSpan w:val="6"/>
          </w:tcPr>
          <w:p w14:paraId="5E7EFEE6" w14:textId="77777777" w:rsidR="00C711B3" w:rsidRDefault="00C711B3" w:rsidP="002D61E3">
            <w:pPr>
              <w:pStyle w:val="TableBlock"/>
              <w:rPr>
                <w:rtl/>
              </w:rPr>
            </w:pPr>
            <w:r>
              <w:rPr>
                <w:rFonts w:hint="cs"/>
                <w:rtl/>
              </w:rPr>
              <w:t>במקום סעיף 89 לפקודה יבוא:</w:t>
            </w:r>
          </w:p>
        </w:tc>
      </w:tr>
      <w:tr w:rsidR="00C711B3" w14:paraId="1CA77CFC" w14:textId="77777777" w:rsidTr="002D61E3">
        <w:trPr>
          <w:cantSplit/>
          <w:trHeight w:val="60"/>
        </w:trPr>
        <w:tc>
          <w:tcPr>
            <w:tcW w:w="1869" w:type="dxa"/>
          </w:tcPr>
          <w:p w14:paraId="7AE07D92" w14:textId="77777777" w:rsidR="00C711B3" w:rsidRDefault="00C711B3" w:rsidP="002D61E3">
            <w:pPr>
              <w:pStyle w:val="TableSideHeading"/>
              <w:keepLines w:val="0"/>
            </w:pPr>
          </w:p>
        </w:tc>
        <w:tc>
          <w:tcPr>
            <w:tcW w:w="623" w:type="dxa"/>
          </w:tcPr>
          <w:p w14:paraId="113E3C15" w14:textId="77777777" w:rsidR="00C711B3" w:rsidRDefault="00C711B3" w:rsidP="002D61E3">
            <w:pPr>
              <w:pStyle w:val="TableText"/>
              <w:keepLines w:val="0"/>
            </w:pPr>
          </w:p>
        </w:tc>
        <w:tc>
          <w:tcPr>
            <w:tcW w:w="1872" w:type="dxa"/>
            <w:gridSpan w:val="3"/>
          </w:tcPr>
          <w:p w14:paraId="1B93B6CA" w14:textId="77777777" w:rsidR="00C711B3" w:rsidRDefault="00C711B3" w:rsidP="002D61E3">
            <w:pPr>
              <w:pStyle w:val="TableInnerSideHeading"/>
            </w:pPr>
            <w:r>
              <w:rPr>
                <w:rFonts w:hint="cs"/>
                <w:rtl/>
              </w:rPr>
              <w:t xml:space="preserve">"הפגנה שלא לפי רישיון </w:t>
            </w:r>
            <w:r>
              <w:rPr>
                <w:rtl/>
              </w:rPr>
              <w:t>–</w:t>
            </w:r>
            <w:r>
              <w:rPr>
                <w:rFonts w:hint="cs"/>
                <w:rtl/>
              </w:rPr>
              <w:t xml:space="preserve"> כדין התקהלות אסורה</w:t>
            </w:r>
          </w:p>
        </w:tc>
        <w:tc>
          <w:tcPr>
            <w:tcW w:w="624" w:type="dxa"/>
          </w:tcPr>
          <w:p w14:paraId="0CD82FF7" w14:textId="77777777" w:rsidR="00C711B3" w:rsidRPr="00EF0959" w:rsidRDefault="00C711B3" w:rsidP="002D61E3">
            <w:pPr>
              <w:pStyle w:val="TableText"/>
            </w:pPr>
            <w:r>
              <w:rPr>
                <w:rFonts w:hint="cs"/>
                <w:rtl/>
              </w:rPr>
              <w:t>89.</w:t>
            </w:r>
          </w:p>
        </w:tc>
        <w:tc>
          <w:tcPr>
            <w:tcW w:w="4648" w:type="dxa"/>
            <w:gridSpan w:val="2"/>
          </w:tcPr>
          <w:p w14:paraId="5CB4BC45" w14:textId="77777777" w:rsidR="00C711B3" w:rsidRDefault="00C711B3" w:rsidP="002D61E3">
            <w:pPr>
              <w:pStyle w:val="TableBlock"/>
            </w:pPr>
            <w:r>
              <w:rPr>
                <w:rFonts w:hint="cs"/>
                <w:rtl/>
              </w:rPr>
              <w:t>ה</w:t>
            </w:r>
            <w:r>
              <w:rPr>
                <w:rtl/>
              </w:rPr>
              <w:t>תקיימה הפגנה בלי שניתן עליה רישיון לפי סעיף 85 או תוך הפרה של תנאי מתנאי הרישיון, יראו אותה כהתקהלות ואם היא אסורה לפי סעיף 151 לחוק העונשין, התשל"ז</w:t>
            </w:r>
            <w:r>
              <w:rPr>
                <w:rFonts w:hint="cs"/>
                <w:rtl/>
              </w:rPr>
              <w:t>–</w:t>
            </w:r>
            <w:r>
              <w:rPr>
                <w:rtl/>
              </w:rPr>
              <w:t>1977</w:t>
            </w:r>
            <w:r>
              <w:rPr>
                <w:rStyle w:val="a6"/>
                <w:rtl/>
              </w:rPr>
              <w:footnoteReference w:id="3"/>
            </w:r>
            <w:r>
              <w:rPr>
                <w:rFonts w:hint="cs"/>
                <w:rtl/>
              </w:rPr>
              <w:t>,</w:t>
            </w:r>
            <w:r>
              <w:rPr>
                <w:rtl/>
              </w:rPr>
              <w:t xml:space="preserve"> </w:t>
            </w:r>
            <w:r>
              <w:rPr>
                <w:rFonts w:hint="cs"/>
                <w:rtl/>
              </w:rPr>
              <w:t xml:space="preserve">ואם היא </w:t>
            </w:r>
            <w:r>
              <w:rPr>
                <w:rtl/>
              </w:rPr>
              <w:t xml:space="preserve">משמרת מחאה </w:t>
            </w:r>
            <w:r>
              <w:rPr>
                <w:rFonts w:hint="cs"/>
                <w:rtl/>
              </w:rPr>
              <w:t>–</w:t>
            </w:r>
            <w:r>
              <w:rPr>
                <w:rtl/>
              </w:rPr>
              <w:t xml:space="preserve"> אף אם השתתפו בה פחות</w:t>
            </w:r>
            <w:r>
              <w:rPr>
                <w:rFonts w:hint="cs"/>
                <w:rtl/>
              </w:rPr>
              <w:t xml:space="preserve"> </w:t>
            </w:r>
            <w:r>
              <w:rPr>
                <w:rtl/>
              </w:rPr>
              <w:t>משלושה אנשי</w:t>
            </w:r>
            <w:r>
              <w:rPr>
                <w:rFonts w:hint="cs"/>
                <w:rtl/>
              </w:rPr>
              <w:t xml:space="preserve">ם, </w:t>
            </w:r>
            <w:r>
              <w:rPr>
                <w:rtl/>
              </w:rPr>
              <w:t>והוראות סעיפים</w:t>
            </w:r>
            <w:r>
              <w:rPr>
                <w:rFonts w:hint="cs"/>
                <w:rtl/>
              </w:rPr>
              <w:t xml:space="preserve"> 152 עד 158 לחוק האמור יחולו לגביה כאילו הייתה התקהלות אסורה".</w:t>
            </w:r>
          </w:p>
        </w:tc>
      </w:tr>
    </w:tbl>
    <w:p w14:paraId="38151424" w14:textId="77777777" w:rsidR="00C711B3" w:rsidRDefault="00C711B3" w:rsidP="00C711B3">
      <w:pPr>
        <w:pStyle w:val="David"/>
        <w:spacing w:line="240" w:lineRule="auto"/>
        <w:rPr>
          <w:b/>
          <w:bCs/>
          <w:rtl/>
        </w:rPr>
      </w:pPr>
    </w:p>
    <w:p w14:paraId="158C3C56" w14:textId="77777777" w:rsidR="00C711B3" w:rsidRDefault="00C711B3" w:rsidP="00C711B3">
      <w:pPr>
        <w:pStyle w:val="David"/>
        <w:spacing w:line="240" w:lineRule="auto"/>
        <w:rPr>
          <w:b/>
          <w:bCs/>
          <w:rtl/>
        </w:rPr>
      </w:pPr>
    </w:p>
    <w:p w14:paraId="0C9A5E1C" w14:textId="77777777" w:rsidR="00C711B3" w:rsidRDefault="00C711B3" w:rsidP="00C711B3">
      <w:pPr>
        <w:pStyle w:val="David"/>
        <w:spacing w:line="240" w:lineRule="auto"/>
        <w:rPr>
          <w:b/>
          <w:bCs/>
          <w:rtl/>
        </w:rPr>
      </w:pPr>
    </w:p>
    <w:p w14:paraId="70C1C4E3" w14:textId="77777777" w:rsidR="00C711B3" w:rsidRDefault="00C711B3" w:rsidP="00C711B3">
      <w:pPr>
        <w:pStyle w:val="David"/>
        <w:spacing w:line="240" w:lineRule="auto"/>
        <w:rPr>
          <w:b/>
          <w:bCs/>
          <w:rtl/>
        </w:rPr>
      </w:pPr>
    </w:p>
    <w:p w14:paraId="6A389B19" w14:textId="77777777" w:rsidR="00C711B3" w:rsidRDefault="00C711B3" w:rsidP="00C711B3">
      <w:pPr>
        <w:pStyle w:val="David"/>
        <w:spacing w:line="240" w:lineRule="auto"/>
        <w:rPr>
          <w:b/>
          <w:bCs/>
          <w:rtl/>
        </w:rPr>
      </w:pPr>
    </w:p>
    <w:p w14:paraId="749A02E3" w14:textId="02C288E5" w:rsidR="00C711B3" w:rsidRPr="0065709A" w:rsidRDefault="0065709A" w:rsidP="0065709A">
      <w:pPr>
        <w:pStyle w:val="HeadDivreiHesber"/>
        <w:rPr>
          <w:rtl/>
        </w:rPr>
      </w:pPr>
      <w:r w:rsidRPr="0065709A">
        <w:rPr>
          <w:rFonts w:hint="cs"/>
          <w:rtl/>
        </w:rPr>
        <w:lastRenderedPageBreak/>
        <w:t>דברי הסבר</w:t>
      </w:r>
    </w:p>
    <w:p w14:paraId="08780139" w14:textId="77777777" w:rsidR="00C711B3" w:rsidRPr="00C711B3" w:rsidRDefault="00C711B3" w:rsidP="00C711B3">
      <w:pPr>
        <w:pStyle w:val="Hesber"/>
        <w:rPr>
          <w:rtl/>
        </w:rPr>
      </w:pPr>
      <w:r w:rsidRPr="00C711B3">
        <w:rPr>
          <w:rtl/>
        </w:rPr>
        <w:t>חירות ההפגנה כחלק מחופש הביטוי היא בין חירויות היסוד הזוכות להגנה במשפט הישראלי</w:t>
      </w:r>
      <w:r w:rsidRPr="00C711B3">
        <w:t xml:space="preserve">. </w:t>
      </w:r>
      <w:r w:rsidRPr="00C711B3">
        <w:rPr>
          <w:rtl/>
        </w:rPr>
        <w:t>ככל זכות יסוד, גם חירות זו היא יחסית וכפופה למגבלות</w:t>
      </w:r>
      <w:r w:rsidRPr="00C711B3">
        <w:t xml:space="preserve">. </w:t>
      </w:r>
      <w:r w:rsidRPr="00C711B3">
        <w:rPr>
          <w:rtl/>
        </w:rPr>
        <w:t xml:space="preserve">ההסדרה העיקרית של נושא ההפגנות קיימת בפקודת המשטרה </w:t>
      </w:r>
      <w:r w:rsidRPr="00C711B3">
        <w:rPr>
          <w:rFonts w:hint="cs"/>
          <w:rtl/>
        </w:rPr>
        <w:t>[</w:t>
      </w:r>
      <w:r w:rsidRPr="00C711B3">
        <w:rPr>
          <w:rtl/>
        </w:rPr>
        <w:t>נוסח חדש</w:t>
      </w:r>
      <w:r w:rsidRPr="00C711B3">
        <w:rPr>
          <w:rFonts w:hint="cs"/>
          <w:rtl/>
        </w:rPr>
        <w:t>]</w:t>
      </w:r>
      <w:r w:rsidRPr="00C711B3">
        <w:rPr>
          <w:rtl/>
        </w:rPr>
        <w:t>, התשל"א-1971</w:t>
      </w:r>
      <w:r w:rsidRPr="00C711B3">
        <w:rPr>
          <w:rFonts w:hint="cs"/>
          <w:rtl/>
        </w:rPr>
        <w:t xml:space="preserve"> </w:t>
      </w:r>
      <w:r w:rsidRPr="00C711B3">
        <w:rPr>
          <w:rtl/>
        </w:rPr>
        <w:t xml:space="preserve">(להלן </w:t>
      </w:r>
      <w:r w:rsidRPr="00C711B3">
        <w:rPr>
          <w:rFonts w:hint="cs"/>
          <w:rtl/>
        </w:rPr>
        <w:t>–</w:t>
      </w:r>
      <w:r w:rsidRPr="00C711B3">
        <w:rPr>
          <w:rtl/>
        </w:rPr>
        <w:t xml:space="preserve"> הפקודה</w:t>
      </w:r>
      <w:r w:rsidRPr="00C711B3">
        <w:t xml:space="preserve"> </w:t>
      </w:r>
      <w:r w:rsidRPr="00C711B3">
        <w:rPr>
          <w:rFonts w:hint="cs"/>
          <w:rtl/>
        </w:rPr>
        <w:t>).</w:t>
      </w:r>
    </w:p>
    <w:p w14:paraId="7ED3981B" w14:textId="77777777" w:rsidR="00C711B3" w:rsidRPr="00C711B3" w:rsidRDefault="00C711B3" w:rsidP="00C711B3">
      <w:pPr>
        <w:pStyle w:val="Hesber"/>
        <w:rPr>
          <w:rtl/>
        </w:rPr>
      </w:pPr>
      <w:r w:rsidRPr="00C711B3">
        <w:rPr>
          <w:rtl/>
        </w:rPr>
        <w:t>בהתאם להוראות לפי סימן ב' בפרק שישי לפקודה, קיימת חובה לקבל רישיון לאסיפה רק כאשר מדובר בהתקהלות של חמישים איש או יותר, המתאספים כדי לשמוע נאום או הרצאה על נושא מדיני או כדי לדון בנושא כזה, וקיימת חובה לקבל רישיון לתהלוכה כאשר מדובר בחמישים איש או יותר המתאספים כדי להלך יחד ממקום למקום</w:t>
      </w:r>
      <w:r w:rsidRPr="00C711B3">
        <w:t xml:space="preserve">. </w:t>
      </w:r>
      <w:r w:rsidRPr="00C711B3">
        <w:rPr>
          <w:rtl/>
        </w:rPr>
        <w:t>כך, לפי הפקודה כנוסחה היום, אסיפה או תהלוכה של פחות מחמישים איש אינה טעונה רישיון. הוא הדין לגבי התקהלות שאינה תהלוכה ושאינה כרוכה בשמיעת נאומים או הרצאות על נושא מדיני, אף אם משתתפים בה למעלה מחמישים איש</w:t>
      </w:r>
      <w:r w:rsidRPr="00C711B3">
        <w:rPr>
          <w:rFonts w:hint="cs"/>
          <w:rtl/>
        </w:rPr>
        <w:t>.</w:t>
      </w:r>
    </w:p>
    <w:p w14:paraId="167F510D" w14:textId="77777777" w:rsidR="00C711B3" w:rsidRPr="00C711B3" w:rsidRDefault="00C711B3" w:rsidP="00C711B3">
      <w:pPr>
        <w:pStyle w:val="Hesber"/>
        <w:rPr>
          <w:rtl/>
        </w:rPr>
      </w:pPr>
      <w:r w:rsidRPr="00C711B3">
        <w:rPr>
          <w:rtl/>
        </w:rPr>
        <w:t>בצד חירות ההפגנה עומדת גם זכותו של אדם לפרטיותו בביתו. גם זכות זו הוכרה כזכות חוקתית חשובה</w:t>
      </w:r>
      <w:r w:rsidRPr="00C711B3">
        <w:t xml:space="preserve">, </w:t>
      </w:r>
      <w:r w:rsidRPr="00C711B3">
        <w:rPr>
          <w:rtl/>
        </w:rPr>
        <w:t>מתוך הכרה כי בביתו, ב"מקלטו האחרון", של אדם מן הראוי שלא יהיה מוכרח להאזין לדעותיהם של אחרים אם אין הוא חפץ בכך, וכי לאדם יש זכות "להיעזב לעצמו</w:t>
      </w:r>
      <w:r w:rsidRPr="00C711B3">
        <w:rPr>
          <w:rFonts w:hint="cs"/>
          <w:rtl/>
        </w:rPr>
        <w:t>"</w:t>
      </w:r>
      <w:r w:rsidRPr="00C711B3">
        <w:t xml:space="preserve"> </w:t>
      </w:r>
      <w:r w:rsidRPr="00C711B3">
        <w:rPr>
          <w:rtl/>
        </w:rPr>
        <w:t>בביתו הפרט</w:t>
      </w:r>
      <w:r w:rsidRPr="00C711B3">
        <w:rPr>
          <w:rFonts w:hint="cs"/>
          <w:rtl/>
        </w:rPr>
        <w:t>י.</w:t>
      </w:r>
      <w:r w:rsidRPr="00C711B3">
        <w:t xml:space="preserve">. </w:t>
      </w:r>
    </w:p>
    <w:p w14:paraId="2D552256" w14:textId="77777777" w:rsidR="00C711B3" w:rsidRPr="00C711B3" w:rsidRDefault="00C711B3" w:rsidP="00C711B3">
      <w:pPr>
        <w:pStyle w:val="Hesber"/>
        <w:rPr>
          <w:rtl/>
        </w:rPr>
      </w:pPr>
      <w:r w:rsidRPr="00C711B3">
        <w:rPr>
          <w:rtl/>
        </w:rPr>
        <w:t xml:space="preserve">בשנים האחרונות אנו עדים להתגברות התופעה של עריכת הפגנות ומשמרות מחאה מול ביתם הפרטי של עובדי ציבור. הפגנות אלה, שמטרתן היא השפעה על אותם אנשים לעשות מעשה או להימנע ממנו, מכוונות במקרים רבים גם כדי להטריד את אותם אנשים ובני משפחתם ולפגוע בפרטיותם. במקרים רבים כוונת המפגינים היא שהטרדה זו כשלעצמה תפעיל לחץ על האדם שכלפיו מכוונת ההפגנה ובדרך זו תגרום לו לעשות את המעשה או תשפיע על דרך מילוי תפקידו, כפי רצונם של המפגינים. כאשר מפגינים מבקשים לממש את חופש ההפגנה שלהם מול בית מגורים פרטי, ודאי שעה שאלו יכולים להיות ממומשים במקום אחר, מתחזק החשש כי מטרת ההפגנה אינה לממש את האינטרסים הלגיטימיים הגלומים בחופש הביטוי, אלא להפעיל לחץ בלתי לגיטימי ולגרום טרדה לאדם שהוא מושא ההפגנה. </w:t>
      </w:r>
    </w:p>
    <w:p w14:paraId="36130314" w14:textId="77777777" w:rsidR="00C711B3" w:rsidRPr="00C711B3" w:rsidRDefault="00C711B3" w:rsidP="00C711B3">
      <w:pPr>
        <w:pStyle w:val="Hesber"/>
        <w:rPr>
          <w:rtl/>
        </w:rPr>
      </w:pPr>
      <w:r w:rsidRPr="00C711B3">
        <w:rPr>
          <w:rtl/>
        </w:rPr>
        <w:t>לא זו אף זו, הפגנות מן הסוג האמור פוגעות גם בפרטיותם של אנשים נוספים המתגוררים בבית המגורים או בסמוך לו ומהוות מטרד גם לגביהם</w:t>
      </w:r>
      <w:r w:rsidRPr="00C711B3">
        <w:t xml:space="preserve">. </w:t>
      </w:r>
      <w:r w:rsidRPr="00C711B3">
        <w:rPr>
          <w:rtl/>
        </w:rPr>
        <w:t xml:space="preserve">בהצעת חוק זו מוצעים שני חידושים: האחד, קביעת חובת רישוי לקיומה של משמרת מחאה, שהיא מחאה של אדם אחד או יותר בסמוך לבית מגורים ובנוגע לעניין ציבורי. השני, קביעת הוראה מיוחדת הקובעת סייגים ותנאים למתן רישיון לקיום משמרת מחאה או לקיום אסיפה או תהלוכה בסמוך לבית מגורים </w:t>
      </w:r>
      <w:r w:rsidRPr="00C711B3">
        <w:rPr>
          <w:rFonts w:hint="cs"/>
          <w:rtl/>
        </w:rPr>
        <w:t>(</w:t>
      </w:r>
      <w:r w:rsidRPr="00C711B3">
        <w:rPr>
          <w:rtl/>
        </w:rPr>
        <w:t>להלן - הפגנה ליד בית מגורים</w:t>
      </w:r>
      <w:r w:rsidRPr="00C711B3">
        <w:rPr>
          <w:rFonts w:hint="cs"/>
          <w:rtl/>
        </w:rPr>
        <w:t>)</w:t>
      </w:r>
    </w:p>
    <w:p w14:paraId="1269D4D5" w14:textId="77777777" w:rsidR="00C711B3" w:rsidRPr="00C711B3" w:rsidRDefault="00C711B3" w:rsidP="00C711B3">
      <w:pPr>
        <w:pStyle w:val="Hesber"/>
        <w:rPr>
          <w:rtl/>
        </w:rPr>
      </w:pPr>
      <w:r w:rsidRPr="00C711B3">
        <w:rPr>
          <w:rtl/>
        </w:rPr>
        <w:t xml:space="preserve">הצעת החוק מבקשת לאזן בין מימוש חופש הביטוי בדרך של הפגנה, מצד אחד, לבין זכותו של אדם לפרטיות ולמניעת הטרדתו כאשר הוא בביתו, מן הצד האחר. על פי המוצע, תיקבע נוסחת איזון המאמצת את דעת הרוב בבג"ץ  2481/93 </w:t>
      </w:r>
      <w:r w:rsidRPr="00C711B3">
        <w:rPr>
          <w:b/>
          <w:bCs/>
          <w:rtl/>
        </w:rPr>
        <w:t>דיין נ' ניצב יהודה וילק, מפקד מחוז ירושלים</w:t>
      </w:r>
      <w:r w:rsidRPr="00C711B3">
        <w:rPr>
          <w:rtl/>
        </w:rPr>
        <w:t xml:space="preserve"> </w:t>
      </w:r>
      <w:r w:rsidRPr="00C711B3">
        <w:rPr>
          <w:rFonts w:hint="cs"/>
          <w:rtl/>
        </w:rPr>
        <w:t xml:space="preserve">(פ"ד </w:t>
      </w:r>
      <w:r w:rsidRPr="00C711B3">
        <w:rPr>
          <w:rtl/>
        </w:rPr>
        <w:t>מח(2) 456</w:t>
      </w:r>
      <w:r w:rsidRPr="00C711B3">
        <w:rPr>
          <w:rFonts w:hint="cs"/>
          <w:rtl/>
        </w:rPr>
        <w:t xml:space="preserve">) </w:t>
      </w:r>
      <w:r w:rsidRPr="00C711B3">
        <w:rPr>
          <w:rtl/>
        </w:rPr>
        <w:t xml:space="preserve">ואת הנחיית היועץ המשפטי לממשלה </w:t>
      </w:r>
      <w:r w:rsidRPr="00C711B3">
        <w:rPr>
          <w:rFonts w:hint="cs"/>
          <w:rtl/>
        </w:rPr>
        <w:t>3.1200</w:t>
      </w:r>
      <w:r w:rsidRPr="00C711B3">
        <w:rPr>
          <w:rtl/>
        </w:rPr>
        <w:t xml:space="preserve"> ממרס 2003 המבוססת על פסק הדין. בהתאם לנוסחה זו, בהתקיים חלופה מתאימה לקיום הפגנה ליד בית מגורים, לא תותר קיומה של הפגנה כאמור שמטרתה למחות נגד מעשה של אדם המתגורר בבית המגורים או לגרום לו לעשות מעשה או להימנע מעשייתו בעניין הנוגע לביצוע תפקידו הציבורי או לשירות שהוא נותן לציבור. בנסיבות אלה, הפגיעה בחופש הביטוי לא תהיה חמורה, שכן יש מקום אחר שבו יכול האדם לבטא את דעתו. בהעדר חלופה מתאימה, יידרש מפקד מחוז המשטרה שבתחומו נועדה להתקיים ההפגנה, או סגנו, בעת שהוא קובע את תנאי </w:t>
      </w:r>
      <w:r w:rsidRPr="00C711B3">
        <w:rPr>
          <w:rtl/>
        </w:rPr>
        <w:lastRenderedPageBreak/>
        <w:t>הרישיון, לשקול את מידת הפגיעה בפרטיות ובחופש התנועה ואת המטרד שנגרם כתוצאה מקיומה של הפגנה ליד בית מגורים</w:t>
      </w:r>
      <w:r w:rsidRPr="00C711B3">
        <w:t xml:space="preserve">. </w:t>
      </w:r>
      <w:r w:rsidRPr="00C711B3">
        <w:rPr>
          <w:rtl/>
        </w:rPr>
        <w:t>ההסדר המוצע נועד לתת עדיפות לזכותו של אדם לפרטיותו בביתו, בנסיבות שבהן אין מניעה מוחלטת של חופש הביטוי אלא רק פגיעה מסוימת בחירות זו</w:t>
      </w:r>
      <w:r w:rsidRPr="00C711B3">
        <w:t xml:space="preserve">. </w:t>
      </w:r>
    </w:p>
    <w:p w14:paraId="0116BC8F" w14:textId="77777777" w:rsidR="00C711B3" w:rsidRPr="00C711B3" w:rsidRDefault="00C711B3" w:rsidP="00C711B3">
      <w:pPr>
        <w:pStyle w:val="Hesber"/>
        <w:rPr>
          <w:rtl/>
        </w:rPr>
      </w:pPr>
      <w:r w:rsidRPr="00C711B3">
        <w:rPr>
          <w:rtl/>
        </w:rPr>
        <w:t>לפי המוצע, הגדרת המונח "משמרת מחאה" מתייחסת למחאה הנוגעת לעניינים ציבוריים בלבד, ויוצרת את האיזון בין פרטיותו של אדם לבין חופש הביטוי בתחום זה בלבד. סכסוכים פרטיים ימשיכו להיות מטופלים במישור של עבירות פליליות ועוולות אזרחיות, ואין בהם מקום להסדרה במסגרת רישוי. אדם שפרטיותו בביתו נפגעת</w:t>
      </w:r>
      <w:r w:rsidRPr="00C711B3">
        <w:t xml:space="preserve">, </w:t>
      </w:r>
      <w:r w:rsidRPr="00C711B3">
        <w:rPr>
          <w:rtl/>
        </w:rPr>
        <w:t>עקב מחאה של אחר בעניין פרטי ביניהם, יכול למצוא סעד בחוק הגנת הפרטיות, התשמ"א</w:t>
      </w:r>
      <w:r w:rsidRPr="00C711B3">
        <w:rPr>
          <w:rFonts w:hint="cs"/>
          <w:rtl/>
        </w:rPr>
        <w:t>–</w:t>
      </w:r>
      <w:r w:rsidRPr="00C711B3">
        <w:rPr>
          <w:rtl/>
        </w:rPr>
        <w:t>1981,</w:t>
      </w:r>
      <w:r w:rsidRPr="00C711B3">
        <w:rPr>
          <w:rFonts w:hint="cs"/>
          <w:rtl/>
        </w:rPr>
        <w:t xml:space="preserve"> </w:t>
      </w:r>
      <w:r w:rsidRPr="00C711B3">
        <w:rPr>
          <w:rtl/>
        </w:rPr>
        <w:t>ובחוק מניעת הטרדה מאיימת, התשס"ב</w:t>
      </w:r>
      <w:r w:rsidRPr="00C711B3">
        <w:rPr>
          <w:rFonts w:hint="cs"/>
          <w:rtl/>
        </w:rPr>
        <w:t>–</w:t>
      </w:r>
      <w:r w:rsidRPr="00C711B3">
        <w:rPr>
          <w:rtl/>
        </w:rPr>
        <w:t>2001.</w:t>
      </w:r>
      <w:r w:rsidRPr="00C711B3">
        <w:rPr>
          <w:rFonts w:hint="cs"/>
          <w:rtl/>
        </w:rPr>
        <w:t xml:space="preserve"> </w:t>
      </w:r>
      <w:r w:rsidRPr="00C711B3">
        <w:rPr>
          <w:rtl/>
        </w:rPr>
        <w:t>היסוד בהגדרת "משמרת מחא</w:t>
      </w:r>
      <w:r w:rsidRPr="00C711B3">
        <w:rPr>
          <w:rFonts w:hint="cs"/>
          <w:rtl/>
        </w:rPr>
        <w:t xml:space="preserve">ה" </w:t>
      </w:r>
      <w:r w:rsidRPr="00C711B3">
        <w:rPr>
          <w:rtl/>
        </w:rPr>
        <w:t>המתייחס ל"ביצוע תפקיד ציבורי או מתן שירות לציבור</w:t>
      </w:r>
      <w:r w:rsidRPr="00C711B3">
        <w:rPr>
          <w:rFonts w:hint="cs"/>
          <w:rtl/>
        </w:rPr>
        <w:t xml:space="preserve">" </w:t>
      </w:r>
      <w:r w:rsidRPr="00C711B3">
        <w:rPr>
          <w:rtl/>
        </w:rPr>
        <w:t>מכוון לסוגי מקרים שבהם נערכות משמרות מחאה מול בתיהם של עובדי ציבור או נבחרי ציבור בקשר לעבודתם</w:t>
      </w:r>
      <w:r w:rsidRPr="00C711B3">
        <w:rPr>
          <w:rFonts w:hint="cs"/>
          <w:rtl/>
        </w:rPr>
        <w:t>,</w:t>
      </w:r>
      <w:r w:rsidRPr="00C711B3">
        <w:t xml:space="preserve"> </w:t>
      </w:r>
      <w:r w:rsidRPr="00C711B3">
        <w:rPr>
          <w:rtl/>
        </w:rPr>
        <w:t>או למקרים אחרים שבהם המחאה נוגעת לנושא ציבורי במובן הרחב, כגון ניסויים בבעלי חיים, מחאה כנגד גופים דו–מהותיים וכדומה</w:t>
      </w:r>
      <w:r w:rsidRPr="00C711B3">
        <w:rPr>
          <w:rFonts w:hint="cs"/>
          <w:rtl/>
        </w:rPr>
        <w:t>.</w:t>
      </w:r>
    </w:p>
    <w:p w14:paraId="604C70DF" w14:textId="46B529B3" w:rsidR="00C711B3" w:rsidRPr="00C711B3" w:rsidRDefault="00C711B3" w:rsidP="00C711B3">
      <w:pPr>
        <w:pStyle w:val="Hesber"/>
        <w:rPr>
          <w:rtl/>
        </w:rPr>
      </w:pPr>
      <w:r w:rsidRPr="00C711B3">
        <w:rPr>
          <w:rFonts w:hint="cs"/>
          <w:rtl/>
        </w:rPr>
        <w:t>יצוין כי ב</w:t>
      </w:r>
      <w:r w:rsidRPr="00C711B3">
        <w:rPr>
          <w:rtl/>
        </w:rPr>
        <w:t>בג</w:t>
      </w:r>
      <w:r w:rsidRPr="00C711B3">
        <w:rPr>
          <w:rFonts w:hint="cs"/>
          <w:rtl/>
        </w:rPr>
        <w:t>"</w:t>
      </w:r>
      <w:r w:rsidRPr="00C711B3">
        <w:rPr>
          <w:rtl/>
        </w:rPr>
        <w:t xml:space="preserve">ץ 6658/93 </w:t>
      </w:r>
      <w:r w:rsidRPr="00C711B3">
        <w:rPr>
          <w:b/>
          <w:bCs/>
          <w:rtl/>
        </w:rPr>
        <w:t>עם כלביא נ' מפקד משטרת ירושלים</w:t>
      </w:r>
      <w:r w:rsidRPr="00C711B3">
        <w:rPr>
          <w:rtl/>
        </w:rPr>
        <w:t xml:space="preserve"> </w:t>
      </w:r>
      <w:r w:rsidRPr="00C711B3">
        <w:rPr>
          <w:rFonts w:hint="cs"/>
          <w:rtl/>
        </w:rPr>
        <w:t xml:space="preserve">(פ"ד </w:t>
      </w:r>
      <w:r w:rsidRPr="00C711B3">
        <w:rPr>
          <w:rtl/>
        </w:rPr>
        <w:t>מח(4) 793</w:t>
      </w:r>
      <w:r w:rsidRPr="00C711B3">
        <w:rPr>
          <w:rFonts w:hint="cs"/>
          <w:rtl/>
        </w:rPr>
        <w:t xml:space="preserve">) </w:t>
      </w:r>
      <w:r w:rsidRPr="00C711B3">
        <w:rPr>
          <w:rtl/>
        </w:rPr>
        <w:t>–</w:t>
      </w:r>
      <w:r w:rsidRPr="00C711B3">
        <w:rPr>
          <w:rFonts w:hint="cs"/>
          <w:rtl/>
        </w:rPr>
        <w:t xml:space="preserve"> קבע השופט אהרון ברק בסיכום פסק הדין אשר נגע באיזון הזכות להפגין כי: </w:t>
      </w:r>
      <w:r w:rsidRPr="00C711B3">
        <w:rPr>
          <w:rtl/>
        </w:rPr>
        <w:t>״הבקשה תידון ותאושר בתנאים שייקבעו. חמש מאות איש, מבין משתתפי האסיפה, יתכנסו מול מעונו של ראש הממשלה, במתחם רח</w:t>
      </w:r>
      <w:r w:rsidRPr="00C711B3">
        <w:rPr>
          <w:rFonts w:hint="cs"/>
          <w:rtl/>
        </w:rPr>
        <w:t>'</w:t>
      </w:r>
      <w:r w:rsidRPr="00C711B3">
        <w:rPr>
          <w:rtl/>
        </w:rPr>
        <w:t xml:space="preserve"> עזה – רח</w:t>
      </w:r>
      <w:r w:rsidRPr="00C711B3">
        <w:rPr>
          <w:rFonts w:hint="cs"/>
          <w:rtl/>
        </w:rPr>
        <w:t>'</w:t>
      </w:r>
      <w:r w:rsidRPr="00C711B3">
        <w:rPr>
          <w:rtl/>
        </w:rPr>
        <w:t xml:space="preserve"> בן-מימון. תוקם במה ליד הבית ברח</w:t>
      </w:r>
      <w:r w:rsidRPr="00C711B3">
        <w:rPr>
          <w:rFonts w:hint="cs"/>
          <w:rtl/>
        </w:rPr>
        <w:t>'</w:t>
      </w:r>
      <w:r w:rsidRPr="00C711B3">
        <w:rPr>
          <w:rtl/>
        </w:rPr>
        <w:t xml:space="preserve"> בן-מימון מס</w:t>
      </w:r>
      <w:r w:rsidRPr="00C711B3">
        <w:rPr>
          <w:rFonts w:hint="cs"/>
          <w:rtl/>
        </w:rPr>
        <w:t>'</w:t>
      </w:r>
      <w:r w:rsidRPr="00C711B3">
        <w:rPr>
          <w:rtl/>
        </w:rPr>
        <w:t xml:space="preserve"> 6. משך האסיפה יהא בין השעות 21.00-19.30. ניתן יהא להשתמש ברמקולים, כפי הנדרש להגברת קולו של נואם ל-500 משתתפים. מארגני האסיפה ימנו סדרנים אשר יפקחו על כך שמספר המשתתפים באסיפה ליד מעונו של ראש הממשלה לא יעלה על חמש מאות. כן יהיו המארגנים אחראים לפיזור המפגינים מן המתחם, ולפינוי הכביש מהבמה ומהאנשים, באופן שיאפשר חידוש התנועה״</w:t>
      </w:r>
      <w:r w:rsidRPr="00C711B3">
        <w:rPr>
          <w:rFonts w:hint="cs"/>
          <w:rtl/>
        </w:rPr>
        <w:t>. בהתאם לפסק דין זה, מוצע  לעגן קביעות אלו בחוק בתנאי הרישיון, ולקבוע כי בהפגנה מול בית מגורים לא ישתתפו יותר מ-500 איש, היא תימשך עד שעה וחצי ולא תימשך לאחר השעה 21:00.</w:t>
      </w:r>
    </w:p>
    <w:p w14:paraId="6F92FA52" w14:textId="74269A11" w:rsidR="00C711B3" w:rsidRDefault="00C711B3" w:rsidP="00C711B3">
      <w:pPr>
        <w:pStyle w:val="Hesber"/>
        <w:rPr>
          <w:rtl/>
        </w:rPr>
      </w:pPr>
      <w:r w:rsidRPr="00C711B3">
        <w:rPr>
          <w:rFonts w:hint="cs"/>
          <w:rtl/>
        </w:rPr>
        <w:t>הצעת החוק מבוססת על הצעת חוק לתיקון פקודת המשטרה (מס' 26) (רישוי הפגנות), התשס"ט</w:t>
      </w:r>
      <w:r w:rsidRPr="00C711B3">
        <w:rPr>
          <w:rFonts w:hint="eastAsia"/>
          <w:rtl/>
        </w:rPr>
        <w:t>–</w:t>
      </w:r>
      <w:r w:rsidRPr="00C711B3">
        <w:rPr>
          <w:rFonts w:hint="cs"/>
          <w:rtl/>
        </w:rPr>
        <w:t>2009 (מ/425) שאו</w:t>
      </w:r>
      <w:r w:rsidR="00F044A6">
        <w:rPr>
          <w:rFonts w:hint="cs"/>
          <w:rtl/>
        </w:rPr>
        <w:t>שרה בקריאה הראשונה בכנסת השמונה-</w:t>
      </w:r>
      <w:bookmarkStart w:id="6" w:name="_GoBack"/>
      <w:bookmarkEnd w:id="6"/>
      <w:r w:rsidRPr="00C711B3">
        <w:rPr>
          <w:rFonts w:hint="cs"/>
          <w:rtl/>
        </w:rPr>
        <w:t>עשרה.</w:t>
      </w:r>
    </w:p>
    <w:p w14:paraId="7EA86D0A" w14:textId="77777777" w:rsidR="00F044A6" w:rsidRDefault="00F044A6" w:rsidP="00C711B3">
      <w:pPr>
        <w:pStyle w:val="Hesber"/>
        <w:rPr>
          <w:rtl/>
        </w:rPr>
      </w:pPr>
    </w:p>
    <w:p w14:paraId="29F666D8" w14:textId="77777777" w:rsidR="00F044A6" w:rsidRPr="00F044A6" w:rsidRDefault="00F044A6" w:rsidP="00F044A6">
      <w:pPr>
        <w:autoSpaceDE w:val="0"/>
        <w:autoSpaceDN w:val="0"/>
        <w:adjustRightInd w:val="0"/>
        <w:snapToGrid w:val="0"/>
        <w:ind w:left="0"/>
        <w:contextualSpacing w:val="0"/>
        <w:textAlignment w:val="center"/>
        <w:rPr>
          <w:rFonts w:ascii="Arial" w:eastAsia="Arial Unicode MS" w:hAnsi="Arial"/>
          <w:snapToGrid w:val="0"/>
          <w:sz w:val="20"/>
          <w:szCs w:val="26"/>
          <w:rtl/>
        </w:rPr>
      </w:pPr>
      <w:r w:rsidRPr="00F044A6">
        <w:rPr>
          <w:rFonts w:ascii="Arial" w:eastAsia="Arial Unicode MS" w:hAnsi="Arial"/>
          <w:snapToGrid w:val="0"/>
          <w:sz w:val="20"/>
          <w:szCs w:val="26"/>
          <w:rtl/>
        </w:rPr>
        <w:t>---------------------------------</w:t>
      </w:r>
    </w:p>
    <w:p w14:paraId="6CD431ED" w14:textId="77777777" w:rsidR="00F044A6" w:rsidRPr="00F044A6" w:rsidRDefault="00F044A6" w:rsidP="00F044A6">
      <w:pPr>
        <w:autoSpaceDE w:val="0"/>
        <w:autoSpaceDN w:val="0"/>
        <w:adjustRightInd w:val="0"/>
        <w:snapToGrid w:val="0"/>
        <w:ind w:left="0"/>
        <w:contextualSpacing w:val="0"/>
        <w:textAlignment w:val="center"/>
        <w:rPr>
          <w:rFonts w:ascii="Arial" w:eastAsia="Arial Unicode MS" w:hAnsi="Arial"/>
          <w:snapToGrid w:val="0"/>
          <w:sz w:val="26"/>
          <w:szCs w:val="26"/>
          <w:rtl/>
        </w:rPr>
      </w:pPr>
      <w:r w:rsidRPr="00F044A6">
        <w:rPr>
          <w:rFonts w:ascii="Arial" w:eastAsia="Arial Unicode MS" w:hAnsi="Arial" w:hint="cs"/>
          <w:snapToGrid w:val="0"/>
          <w:sz w:val="26"/>
          <w:szCs w:val="26"/>
          <w:rtl/>
        </w:rPr>
        <w:t>הוגשה</w:t>
      </w:r>
      <w:r w:rsidRPr="00F044A6">
        <w:rPr>
          <w:rFonts w:ascii="Arial" w:eastAsia="Arial Unicode MS" w:hAnsi="Arial"/>
          <w:snapToGrid w:val="0"/>
          <w:sz w:val="26"/>
          <w:szCs w:val="26"/>
          <w:rtl/>
        </w:rPr>
        <w:t xml:space="preserve"> </w:t>
      </w:r>
      <w:r w:rsidRPr="00F044A6">
        <w:rPr>
          <w:rFonts w:ascii="Arial" w:eastAsia="Arial Unicode MS" w:hAnsi="Arial" w:hint="cs"/>
          <w:snapToGrid w:val="0"/>
          <w:sz w:val="26"/>
          <w:szCs w:val="26"/>
          <w:rtl/>
        </w:rPr>
        <w:t>ליו</w:t>
      </w:r>
      <w:r w:rsidRPr="00F044A6">
        <w:rPr>
          <w:rFonts w:ascii="Arial" w:eastAsia="Arial Unicode MS" w:hAnsi="Arial"/>
          <w:snapToGrid w:val="0"/>
          <w:sz w:val="26"/>
          <w:szCs w:val="26"/>
          <w:rtl/>
        </w:rPr>
        <w:t>"</w:t>
      </w:r>
      <w:r w:rsidRPr="00F044A6">
        <w:rPr>
          <w:rFonts w:ascii="Arial" w:eastAsia="Arial Unicode MS" w:hAnsi="Arial" w:hint="cs"/>
          <w:snapToGrid w:val="0"/>
          <w:sz w:val="26"/>
          <w:szCs w:val="26"/>
          <w:rtl/>
        </w:rPr>
        <w:t>ר</w:t>
      </w:r>
      <w:r w:rsidRPr="00F044A6">
        <w:rPr>
          <w:rFonts w:ascii="Arial" w:eastAsia="Arial Unicode MS" w:hAnsi="Arial"/>
          <w:snapToGrid w:val="0"/>
          <w:sz w:val="26"/>
          <w:szCs w:val="26"/>
          <w:rtl/>
        </w:rPr>
        <w:t xml:space="preserve"> </w:t>
      </w:r>
      <w:r w:rsidRPr="00F044A6">
        <w:rPr>
          <w:rFonts w:ascii="Arial" w:eastAsia="Arial Unicode MS" w:hAnsi="Arial" w:hint="cs"/>
          <w:snapToGrid w:val="0"/>
          <w:sz w:val="26"/>
          <w:szCs w:val="26"/>
          <w:rtl/>
        </w:rPr>
        <w:t>הכנסת</w:t>
      </w:r>
      <w:r w:rsidRPr="00F044A6">
        <w:rPr>
          <w:rFonts w:ascii="Arial" w:eastAsia="Arial Unicode MS" w:hAnsi="Arial"/>
          <w:snapToGrid w:val="0"/>
          <w:sz w:val="26"/>
          <w:szCs w:val="26"/>
          <w:rtl/>
        </w:rPr>
        <w:t xml:space="preserve"> </w:t>
      </w:r>
      <w:r w:rsidRPr="00F044A6">
        <w:rPr>
          <w:rFonts w:ascii="Arial" w:eastAsia="Arial Unicode MS" w:hAnsi="Arial" w:hint="cs"/>
          <w:snapToGrid w:val="0"/>
          <w:sz w:val="26"/>
          <w:szCs w:val="26"/>
          <w:rtl/>
        </w:rPr>
        <w:t>והסגנים</w:t>
      </w:r>
    </w:p>
    <w:p w14:paraId="238C398D" w14:textId="77777777" w:rsidR="00F044A6" w:rsidRPr="00F044A6" w:rsidRDefault="00F044A6" w:rsidP="00F044A6">
      <w:pPr>
        <w:autoSpaceDE w:val="0"/>
        <w:autoSpaceDN w:val="0"/>
        <w:adjustRightInd w:val="0"/>
        <w:snapToGrid w:val="0"/>
        <w:ind w:left="0"/>
        <w:contextualSpacing w:val="0"/>
        <w:textAlignment w:val="center"/>
        <w:rPr>
          <w:rFonts w:ascii="Arial" w:eastAsia="Arial Unicode MS" w:hAnsi="Arial"/>
          <w:snapToGrid w:val="0"/>
          <w:sz w:val="26"/>
          <w:szCs w:val="26"/>
          <w:rtl/>
        </w:rPr>
      </w:pPr>
      <w:r w:rsidRPr="00F044A6">
        <w:rPr>
          <w:rFonts w:ascii="Arial" w:eastAsia="Arial Unicode MS" w:hAnsi="Arial" w:hint="cs"/>
          <w:snapToGrid w:val="0"/>
          <w:sz w:val="26"/>
          <w:szCs w:val="26"/>
          <w:rtl/>
        </w:rPr>
        <w:t>והונחה</w:t>
      </w:r>
      <w:r w:rsidRPr="00F044A6">
        <w:rPr>
          <w:rFonts w:ascii="Arial" w:eastAsia="Arial Unicode MS" w:hAnsi="Arial"/>
          <w:snapToGrid w:val="0"/>
          <w:sz w:val="26"/>
          <w:szCs w:val="26"/>
          <w:rtl/>
        </w:rPr>
        <w:t xml:space="preserve"> </w:t>
      </w:r>
      <w:r w:rsidRPr="00F044A6">
        <w:rPr>
          <w:rFonts w:ascii="Arial" w:eastAsia="Arial Unicode MS" w:hAnsi="Arial" w:hint="cs"/>
          <w:snapToGrid w:val="0"/>
          <w:sz w:val="26"/>
          <w:szCs w:val="26"/>
          <w:rtl/>
        </w:rPr>
        <w:t>על</w:t>
      </w:r>
      <w:r w:rsidRPr="00F044A6">
        <w:rPr>
          <w:rFonts w:ascii="Arial" w:eastAsia="Arial Unicode MS" w:hAnsi="Arial"/>
          <w:snapToGrid w:val="0"/>
          <w:sz w:val="26"/>
          <w:szCs w:val="26"/>
          <w:rtl/>
        </w:rPr>
        <w:t xml:space="preserve"> </w:t>
      </w:r>
      <w:r w:rsidRPr="00F044A6">
        <w:rPr>
          <w:rFonts w:ascii="Arial" w:eastAsia="Arial Unicode MS" w:hAnsi="Arial" w:hint="cs"/>
          <w:snapToGrid w:val="0"/>
          <w:sz w:val="26"/>
          <w:szCs w:val="26"/>
          <w:rtl/>
        </w:rPr>
        <w:t>שולחן</w:t>
      </w:r>
      <w:r w:rsidRPr="00F044A6">
        <w:rPr>
          <w:rFonts w:ascii="Arial" w:eastAsia="Arial Unicode MS" w:hAnsi="Arial"/>
          <w:snapToGrid w:val="0"/>
          <w:sz w:val="26"/>
          <w:szCs w:val="26"/>
          <w:rtl/>
        </w:rPr>
        <w:t xml:space="preserve"> </w:t>
      </w:r>
      <w:r w:rsidRPr="00F044A6">
        <w:rPr>
          <w:rFonts w:ascii="Arial" w:eastAsia="Arial Unicode MS" w:hAnsi="Arial" w:hint="cs"/>
          <w:snapToGrid w:val="0"/>
          <w:sz w:val="26"/>
          <w:szCs w:val="26"/>
          <w:rtl/>
        </w:rPr>
        <w:t>הכנסת</w:t>
      </w:r>
      <w:r w:rsidRPr="00F044A6">
        <w:rPr>
          <w:rFonts w:ascii="Arial" w:eastAsia="Arial Unicode MS" w:hAnsi="Arial"/>
          <w:snapToGrid w:val="0"/>
          <w:sz w:val="26"/>
          <w:szCs w:val="26"/>
          <w:rtl/>
        </w:rPr>
        <w:t xml:space="preserve"> </w:t>
      </w:r>
      <w:r w:rsidRPr="00F044A6">
        <w:rPr>
          <w:rFonts w:ascii="Arial" w:eastAsia="Arial Unicode MS" w:hAnsi="Arial" w:hint="cs"/>
          <w:snapToGrid w:val="0"/>
          <w:sz w:val="26"/>
          <w:szCs w:val="26"/>
          <w:rtl/>
        </w:rPr>
        <w:t>ביום</w:t>
      </w:r>
    </w:p>
    <w:p w14:paraId="558891CA" w14:textId="77777777" w:rsidR="00F044A6" w:rsidRPr="00F044A6" w:rsidRDefault="00F044A6" w:rsidP="00F044A6">
      <w:pPr>
        <w:autoSpaceDE w:val="0"/>
        <w:autoSpaceDN w:val="0"/>
        <w:adjustRightInd w:val="0"/>
        <w:snapToGrid w:val="0"/>
        <w:ind w:left="0"/>
        <w:contextualSpacing w:val="0"/>
        <w:textAlignment w:val="center"/>
        <w:rPr>
          <w:rFonts w:ascii="Arial" w:eastAsia="Arial Unicode MS" w:hAnsi="Arial"/>
          <w:snapToGrid w:val="0"/>
          <w:color w:val="000000"/>
          <w:sz w:val="26"/>
          <w:szCs w:val="26"/>
          <w:rtl/>
          <w:lang w:eastAsia="ja-JP"/>
        </w:rPr>
      </w:pPr>
      <w:r w:rsidRPr="00F044A6">
        <w:rPr>
          <w:rFonts w:ascii="Arial" w:eastAsia="Arial Unicode MS" w:hAnsi="Arial" w:hint="cs"/>
          <w:snapToGrid w:val="0"/>
          <w:sz w:val="20"/>
          <w:szCs w:val="26"/>
          <w:rtl/>
        </w:rPr>
        <w:t>ד'</w:t>
      </w:r>
      <w:r w:rsidRPr="00F044A6">
        <w:rPr>
          <w:rFonts w:ascii="Arial" w:eastAsia="Arial Unicode MS" w:hAnsi="Arial" w:hint="cs"/>
          <w:snapToGrid w:val="0"/>
          <w:sz w:val="26"/>
          <w:szCs w:val="26"/>
          <w:rtl/>
        </w:rPr>
        <w:t xml:space="preserve"> באלול התש"ף </w:t>
      </w:r>
      <w:r w:rsidRPr="00F044A6">
        <w:rPr>
          <w:rFonts w:ascii="Arial" w:eastAsia="Arial Unicode MS" w:hAnsi="Arial"/>
          <w:snapToGrid w:val="0"/>
          <w:sz w:val="26"/>
          <w:szCs w:val="26"/>
          <w:rtl/>
        </w:rPr>
        <w:t>–</w:t>
      </w:r>
      <w:r w:rsidRPr="00F044A6">
        <w:rPr>
          <w:rFonts w:ascii="Arial" w:eastAsia="Arial Unicode MS" w:hAnsi="Arial" w:hint="cs"/>
          <w:snapToGrid w:val="0"/>
          <w:sz w:val="26"/>
          <w:szCs w:val="26"/>
          <w:rtl/>
        </w:rPr>
        <w:t xml:space="preserve"> 24.8.20</w:t>
      </w:r>
    </w:p>
    <w:p w14:paraId="6EC81BA8" w14:textId="77777777" w:rsidR="00F044A6" w:rsidRPr="00C711B3" w:rsidRDefault="00F044A6" w:rsidP="00C711B3">
      <w:pPr>
        <w:pStyle w:val="Hesber"/>
      </w:pPr>
    </w:p>
    <w:p w14:paraId="77759385" w14:textId="77777777" w:rsidR="00C711B3" w:rsidRDefault="00C711B3" w:rsidP="00C711B3">
      <w:pPr>
        <w:pStyle w:val="David"/>
        <w:spacing w:line="240" w:lineRule="auto"/>
        <w:rPr>
          <w:b/>
          <w:bCs/>
          <w:rtl/>
        </w:rPr>
      </w:pPr>
    </w:p>
    <w:p w14:paraId="31D719ED" w14:textId="77777777" w:rsidR="00415E4C" w:rsidRDefault="00415E4C" w:rsidP="00415E4C">
      <w:pPr>
        <w:pStyle w:val="Hesber"/>
        <w:spacing w:line="240" w:lineRule="auto"/>
        <w:ind w:firstLine="0"/>
        <w:rPr>
          <w:rtl/>
        </w:rPr>
      </w:pPr>
    </w:p>
    <w:p w14:paraId="1D95290A" w14:textId="77777777" w:rsidR="00C711B3" w:rsidRDefault="00C711B3" w:rsidP="00415E4C">
      <w:pPr>
        <w:pStyle w:val="Hesber"/>
        <w:spacing w:line="240" w:lineRule="auto"/>
        <w:ind w:firstLine="0"/>
        <w:rPr>
          <w:rtl/>
        </w:rPr>
      </w:pPr>
    </w:p>
    <w:sectPr w:rsidR="00C711B3" w:rsidSect="00FD61A1">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F044A6">
      <w:rPr>
        <w:rStyle w:val="ab"/>
        <w:noProof/>
        <w:rtl/>
      </w:rPr>
      <w:t>5</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607281D2" w14:textId="77777777" w:rsidR="00C711B3" w:rsidRDefault="00C711B3" w:rsidP="00C711B3">
      <w:pPr>
        <w:pStyle w:val="a4"/>
        <w:rPr>
          <w:rtl/>
        </w:rPr>
      </w:pPr>
      <w:r>
        <w:rPr>
          <w:rStyle w:val="a6"/>
        </w:rPr>
        <w:footnoteRef/>
      </w:r>
      <w:r>
        <w:rPr>
          <w:rtl/>
        </w:rPr>
        <w:t xml:space="preserve"> </w:t>
      </w:r>
      <w:r>
        <w:rPr>
          <w:rFonts w:hint="cs"/>
          <w:rtl/>
        </w:rPr>
        <w:t>דיני מדינת ישראל, נוסח חדש 17, עמ' 390.</w:t>
      </w:r>
    </w:p>
  </w:footnote>
  <w:footnote w:id="3">
    <w:p w14:paraId="23EB50EC" w14:textId="77777777" w:rsidR="00C711B3" w:rsidRDefault="00C711B3" w:rsidP="00C711B3">
      <w:pPr>
        <w:pStyle w:val="a4"/>
      </w:pPr>
      <w:r>
        <w:rPr>
          <w:rStyle w:val="a6"/>
        </w:rPr>
        <w:footnoteRef/>
      </w:r>
      <w:r>
        <w:rPr>
          <w:rtl/>
        </w:rPr>
        <w:t xml:space="preserve"> </w:t>
      </w:r>
      <w:r>
        <w:rPr>
          <w:rFonts w:hint="cs"/>
          <w:rtl/>
        </w:rPr>
        <w:t>ס"ח התשל"ז, עמ' 226.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23395"/>
    <w:multiLevelType w:val="hybridMultilevel"/>
    <w:tmpl w:val="F6629548"/>
    <w:lvl w:ilvl="0" w:tplc="D1040F64">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0552D"/>
    <w:multiLevelType w:val="hybridMultilevel"/>
    <w:tmpl w:val="8988C8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19E19DF"/>
    <w:multiLevelType w:val="hybridMultilevel"/>
    <w:tmpl w:val="AF7CC898"/>
    <w:lvl w:ilvl="0" w:tplc="EA2EACD8">
      <w:start w:val="1"/>
      <w:numFmt w:val="decimal"/>
      <w:lvlText w:val="(%1)"/>
      <w:lvlJc w:val="left"/>
      <w:pPr>
        <w:ind w:left="1080" w:hanging="360"/>
      </w:pPr>
      <w:rPr>
        <w:sz w:val="26"/>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14BC33F6"/>
    <w:multiLevelType w:val="hybridMultilevel"/>
    <w:tmpl w:val="3446C774"/>
    <w:lvl w:ilvl="0" w:tplc="22A8048E">
      <w:start w:val="1"/>
      <w:numFmt w:val="decimal"/>
      <w:lvlText w:val="(%1)"/>
      <w:lvlJc w:val="left"/>
      <w:pPr>
        <w:ind w:left="1080" w:hanging="360"/>
      </w:pPr>
      <w:rPr>
        <w:rFonts w:ascii="Arial" w:eastAsia="Arial Unicode MS" w:hAnsi="Arial" w:cs="David"/>
        <w:sz w:val="26"/>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5C4875"/>
    <w:multiLevelType w:val="hybridMultilevel"/>
    <w:tmpl w:val="32C08070"/>
    <w:lvl w:ilvl="0" w:tplc="26003950">
      <w:start w:val="1"/>
      <w:numFmt w:val="decimal"/>
      <w:lvlText w:val="(%1)"/>
      <w:lvlJc w:val="left"/>
      <w:pPr>
        <w:ind w:left="990" w:hanging="360"/>
      </w:pPr>
      <w:rPr>
        <w:rFonts w:hint="default"/>
        <w:sz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2B004BDB"/>
    <w:multiLevelType w:val="hybridMultilevel"/>
    <w:tmpl w:val="869A325E"/>
    <w:lvl w:ilvl="0" w:tplc="596886CA">
      <w:start w:val="1"/>
      <w:numFmt w:val="decimal"/>
      <w:lvlText w:val="(%1)"/>
      <w:lvlJc w:val="left"/>
      <w:pPr>
        <w:ind w:left="1080" w:hanging="360"/>
      </w:pPr>
      <w:rPr>
        <w:rFonts w:hint="default"/>
        <w:sz w:val="26"/>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2F342CE8"/>
    <w:multiLevelType w:val="hybridMultilevel"/>
    <w:tmpl w:val="19ECE218"/>
    <w:lvl w:ilvl="0" w:tplc="101E8FE8">
      <w:start w:val="1"/>
      <w:numFmt w:val="decimal"/>
      <w:lvlText w:val="%1."/>
      <w:lvlJc w:val="left"/>
      <w:pPr>
        <w:ind w:left="465" w:hanging="360"/>
      </w:pPr>
      <w:rPr>
        <w:rFonts w:hint="default"/>
        <w:sz w:val="26"/>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15:restartNumberingAfterBreak="0">
    <w:nsid w:val="35EC5B12"/>
    <w:multiLevelType w:val="hybridMultilevel"/>
    <w:tmpl w:val="10001AEA"/>
    <w:lvl w:ilvl="0" w:tplc="9534519A">
      <w:start w:val="2"/>
      <w:numFmt w:val="hebrew1"/>
      <w:lvlText w:val="(%1)"/>
      <w:lvlJc w:val="left"/>
      <w:pPr>
        <w:ind w:left="990" w:hanging="360"/>
      </w:pPr>
      <w:rPr>
        <w:rFonts w:hint="default"/>
        <w:sz w:val="26"/>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A9A614F"/>
    <w:multiLevelType w:val="hybridMultilevel"/>
    <w:tmpl w:val="B1BE6D9E"/>
    <w:lvl w:ilvl="0" w:tplc="38D256AE">
      <w:start w:val="2"/>
      <w:numFmt w:val="decimal"/>
      <w:lvlText w:val="%1."/>
      <w:lvlJc w:val="left"/>
      <w:pPr>
        <w:ind w:left="465" w:hanging="360"/>
      </w:pPr>
      <w:rPr>
        <w:rFonts w:hint="default"/>
        <w:sz w:val="26"/>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15:restartNumberingAfterBreak="0">
    <w:nsid w:val="3C346275"/>
    <w:multiLevelType w:val="hybridMultilevel"/>
    <w:tmpl w:val="C65063CA"/>
    <w:lvl w:ilvl="0" w:tplc="F950FB3C">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B143B"/>
    <w:multiLevelType w:val="hybridMultilevel"/>
    <w:tmpl w:val="A6A6B646"/>
    <w:lvl w:ilvl="0" w:tplc="09EE408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D6D17"/>
    <w:multiLevelType w:val="hybridMultilevel"/>
    <w:tmpl w:val="EE84DC02"/>
    <w:lvl w:ilvl="0" w:tplc="EE6E8034">
      <w:start w:val="1"/>
      <w:numFmt w:val="decimal"/>
      <w:lvlText w:val="(%1)"/>
      <w:lvlJc w:val="left"/>
      <w:pPr>
        <w:ind w:left="1408" w:hanging="360"/>
      </w:pPr>
      <w:rPr>
        <w:rFonts w:ascii="Times New Roman" w:eastAsia="Times New Roman" w:hAnsi="Times New Roman" w:cs="Times New Roman"/>
        <w:sz w:val="26"/>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53202C6F"/>
    <w:multiLevelType w:val="hybridMultilevel"/>
    <w:tmpl w:val="8988C8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88403C"/>
    <w:multiLevelType w:val="hybridMultilevel"/>
    <w:tmpl w:val="F18C39DE"/>
    <w:lvl w:ilvl="0" w:tplc="B2E4546A">
      <w:start w:val="1"/>
      <w:numFmt w:val="hebrew1"/>
      <w:lvlText w:val="(%1)"/>
      <w:lvlJc w:val="left"/>
      <w:pPr>
        <w:ind w:left="1080" w:hanging="360"/>
      </w:pPr>
      <w:rPr>
        <w:rFonts w:hint="default"/>
        <w:sz w:val="26"/>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5C236982"/>
    <w:multiLevelType w:val="hybridMultilevel"/>
    <w:tmpl w:val="84A4158C"/>
    <w:lvl w:ilvl="0" w:tplc="6C4876AE">
      <w:start w:val="1"/>
      <w:numFmt w:val="decimal"/>
      <w:lvlText w:val="%1."/>
      <w:lvlJc w:val="left"/>
      <w:pPr>
        <w:ind w:left="525" w:hanging="360"/>
      </w:pPr>
      <w:rPr>
        <w:rFonts w:hint="default"/>
        <w:sz w:val="26"/>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0" w15:restartNumberingAfterBreak="0">
    <w:nsid w:val="5D1549AB"/>
    <w:multiLevelType w:val="hybridMultilevel"/>
    <w:tmpl w:val="8294ECF0"/>
    <w:lvl w:ilvl="0" w:tplc="3D6CAEAE">
      <w:start w:val="1"/>
      <w:numFmt w:val="decimal"/>
      <w:lvlText w:val="(%1)"/>
      <w:lvlJc w:val="left"/>
      <w:pPr>
        <w:ind w:left="1408" w:hanging="360"/>
      </w:pPr>
      <w:rPr>
        <w:rFonts w:ascii="Arial" w:eastAsia="Arial Unicode MS" w:hAnsi="Arial" w:cs="David"/>
        <w:sz w:val="26"/>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603B7D61"/>
    <w:multiLevelType w:val="hybridMultilevel"/>
    <w:tmpl w:val="830CD956"/>
    <w:lvl w:ilvl="0" w:tplc="E7343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85849"/>
    <w:multiLevelType w:val="hybridMultilevel"/>
    <w:tmpl w:val="CA70C3B0"/>
    <w:lvl w:ilvl="0" w:tplc="0E486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3"/>
  </w:num>
  <w:num w:numId="13">
    <w:abstractNumId w:val="15"/>
  </w:num>
  <w:num w:numId="14">
    <w:abstractNumId w:val="34"/>
  </w:num>
  <w:num w:numId="15">
    <w:abstractNumId w:val="11"/>
  </w:num>
  <w:num w:numId="16">
    <w:abstractNumId w:val="18"/>
  </w:num>
  <w:num w:numId="17">
    <w:abstractNumId w:val="27"/>
  </w:num>
  <w:num w:numId="18">
    <w:abstractNumId w:val="12"/>
  </w:num>
  <w:num w:numId="19">
    <w:abstractNumId w:val="19"/>
  </w:num>
  <w:num w:numId="20">
    <w:abstractNumId w:val="29"/>
  </w:num>
  <w:num w:numId="21">
    <w:abstractNumId w:val="25"/>
  </w:num>
  <w:num w:numId="22">
    <w:abstractNumId w:val="21"/>
  </w:num>
  <w:num w:numId="23">
    <w:abstractNumId w:val="17"/>
  </w:num>
  <w:num w:numId="24">
    <w:abstractNumId w:val="20"/>
  </w:num>
  <w:num w:numId="25">
    <w:abstractNumId w:val="24"/>
  </w:num>
  <w:num w:numId="26">
    <w:abstractNumId w:val="13"/>
  </w:num>
  <w:num w:numId="27">
    <w:abstractNumId w:val="30"/>
  </w:num>
  <w:num w:numId="28">
    <w:abstractNumId w:val="32"/>
  </w:num>
  <w:num w:numId="29">
    <w:abstractNumId w:val="22"/>
  </w:num>
  <w:num w:numId="30">
    <w:abstractNumId w:val="10"/>
  </w:num>
  <w:num w:numId="31">
    <w:abstractNumId w:val="23"/>
  </w:num>
  <w:num w:numId="32">
    <w:abstractNumId w:val="31"/>
  </w:num>
  <w:num w:numId="33">
    <w:abstractNumId w:val="26"/>
  </w:num>
  <w:num w:numId="34">
    <w:abstractNumId w:val="26"/>
    <w:lvlOverride w:ilvl="0">
      <w:startOverride w:val="1"/>
    </w:lvlOverride>
  </w:num>
  <w:num w:numId="35">
    <w:abstractNumId w:val="14"/>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0D7888"/>
    <w:rsid w:val="00102B6B"/>
    <w:rsid w:val="001052D4"/>
    <w:rsid w:val="0010644B"/>
    <w:rsid w:val="001207F8"/>
    <w:rsid w:val="00121924"/>
    <w:rsid w:val="001279A8"/>
    <w:rsid w:val="0014195F"/>
    <w:rsid w:val="00152609"/>
    <w:rsid w:val="00153E1B"/>
    <w:rsid w:val="00182F0A"/>
    <w:rsid w:val="001A0623"/>
    <w:rsid w:val="001C23B0"/>
    <w:rsid w:val="001D7AAF"/>
    <w:rsid w:val="001E2C1B"/>
    <w:rsid w:val="00203A7F"/>
    <w:rsid w:val="0021633A"/>
    <w:rsid w:val="002200A1"/>
    <w:rsid w:val="002362BF"/>
    <w:rsid w:val="00241B97"/>
    <w:rsid w:val="002425D1"/>
    <w:rsid w:val="00245F77"/>
    <w:rsid w:val="00246756"/>
    <w:rsid w:val="00251E58"/>
    <w:rsid w:val="00254605"/>
    <w:rsid w:val="00262772"/>
    <w:rsid w:val="00266D86"/>
    <w:rsid w:val="002728B4"/>
    <w:rsid w:val="0027600C"/>
    <w:rsid w:val="00292712"/>
    <w:rsid w:val="002A487D"/>
    <w:rsid w:val="002C2E29"/>
    <w:rsid w:val="002C3041"/>
    <w:rsid w:val="002D1EE3"/>
    <w:rsid w:val="002D78F2"/>
    <w:rsid w:val="002F1D80"/>
    <w:rsid w:val="00316123"/>
    <w:rsid w:val="003232A2"/>
    <w:rsid w:val="00325C14"/>
    <w:rsid w:val="0036422C"/>
    <w:rsid w:val="003710F6"/>
    <w:rsid w:val="00386E88"/>
    <w:rsid w:val="00396585"/>
    <w:rsid w:val="003D4E8A"/>
    <w:rsid w:val="003D6E38"/>
    <w:rsid w:val="003D74A0"/>
    <w:rsid w:val="004033D8"/>
    <w:rsid w:val="004073F0"/>
    <w:rsid w:val="00412A7D"/>
    <w:rsid w:val="00415E4C"/>
    <w:rsid w:val="00416B4D"/>
    <w:rsid w:val="00417CFC"/>
    <w:rsid w:val="0042603A"/>
    <w:rsid w:val="004A06DC"/>
    <w:rsid w:val="004B24ED"/>
    <w:rsid w:val="004B6625"/>
    <w:rsid w:val="004D2D82"/>
    <w:rsid w:val="004D3876"/>
    <w:rsid w:val="004E4552"/>
    <w:rsid w:val="004E6CDF"/>
    <w:rsid w:val="00513548"/>
    <w:rsid w:val="00523F02"/>
    <w:rsid w:val="005417BA"/>
    <w:rsid w:val="00553C9D"/>
    <w:rsid w:val="00562A66"/>
    <w:rsid w:val="005B064E"/>
    <w:rsid w:val="005D51AE"/>
    <w:rsid w:val="005F6620"/>
    <w:rsid w:val="0062674B"/>
    <w:rsid w:val="006317F3"/>
    <w:rsid w:val="006363B2"/>
    <w:rsid w:val="00644940"/>
    <w:rsid w:val="0065709A"/>
    <w:rsid w:val="006818A9"/>
    <w:rsid w:val="006A2D81"/>
    <w:rsid w:val="006A47BC"/>
    <w:rsid w:val="006A4BBA"/>
    <w:rsid w:val="006C1D0D"/>
    <w:rsid w:val="006D714B"/>
    <w:rsid w:val="006E49AB"/>
    <w:rsid w:val="0070601E"/>
    <w:rsid w:val="00712C72"/>
    <w:rsid w:val="00735FE9"/>
    <w:rsid w:val="00763CAA"/>
    <w:rsid w:val="00765F66"/>
    <w:rsid w:val="0078664F"/>
    <w:rsid w:val="007A27CE"/>
    <w:rsid w:val="007C3FA6"/>
    <w:rsid w:val="007D585A"/>
    <w:rsid w:val="007D5A12"/>
    <w:rsid w:val="007E59F9"/>
    <w:rsid w:val="0080413B"/>
    <w:rsid w:val="00810BCD"/>
    <w:rsid w:val="00812C98"/>
    <w:rsid w:val="00814D92"/>
    <w:rsid w:val="008223FF"/>
    <w:rsid w:val="00825ECF"/>
    <w:rsid w:val="00826466"/>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36E8"/>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596E"/>
    <w:rsid w:val="00A6611D"/>
    <w:rsid w:val="00A82CB7"/>
    <w:rsid w:val="00A942C1"/>
    <w:rsid w:val="00A951A1"/>
    <w:rsid w:val="00AA2F03"/>
    <w:rsid w:val="00AC36F7"/>
    <w:rsid w:val="00AC63A4"/>
    <w:rsid w:val="00AD239E"/>
    <w:rsid w:val="00B10265"/>
    <w:rsid w:val="00B16A99"/>
    <w:rsid w:val="00B21211"/>
    <w:rsid w:val="00B35784"/>
    <w:rsid w:val="00B566C1"/>
    <w:rsid w:val="00B723B1"/>
    <w:rsid w:val="00B733A7"/>
    <w:rsid w:val="00B75C4D"/>
    <w:rsid w:val="00B75C91"/>
    <w:rsid w:val="00B975AD"/>
    <w:rsid w:val="00BA696C"/>
    <w:rsid w:val="00BC45FB"/>
    <w:rsid w:val="00BF148D"/>
    <w:rsid w:val="00C07951"/>
    <w:rsid w:val="00C23B1A"/>
    <w:rsid w:val="00C267B3"/>
    <w:rsid w:val="00C310EB"/>
    <w:rsid w:val="00C42D9D"/>
    <w:rsid w:val="00C711B3"/>
    <w:rsid w:val="00C872FB"/>
    <w:rsid w:val="00C9176A"/>
    <w:rsid w:val="00CF1AA2"/>
    <w:rsid w:val="00D142D3"/>
    <w:rsid w:val="00D17774"/>
    <w:rsid w:val="00D63620"/>
    <w:rsid w:val="00D8410D"/>
    <w:rsid w:val="00D867D7"/>
    <w:rsid w:val="00DB7060"/>
    <w:rsid w:val="00DD625A"/>
    <w:rsid w:val="00DE1EB6"/>
    <w:rsid w:val="00DE3153"/>
    <w:rsid w:val="00E06736"/>
    <w:rsid w:val="00E13C27"/>
    <w:rsid w:val="00E244BC"/>
    <w:rsid w:val="00E33BBD"/>
    <w:rsid w:val="00E374F2"/>
    <w:rsid w:val="00E45103"/>
    <w:rsid w:val="00E55A60"/>
    <w:rsid w:val="00E62778"/>
    <w:rsid w:val="00E635A2"/>
    <w:rsid w:val="00E63D38"/>
    <w:rsid w:val="00E665B9"/>
    <w:rsid w:val="00EA01E6"/>
    <w:rsid w:val="00EA3DE8"/>
    <w:rsid w:val="00EA758F"/>
    <w:rsid w:val="00EC57D0"/>
    <w:rsid w:val="00ED4A6F"/>
    <w:rsid w:val="00EF0959"/>
    <w:rsid w:val="00EF3A3A"/>
    <w:rsid w:val="00F044A6"/>
    <w:rsid w:val="00F30521"/>
    <w:rsid w:val="00F40892"/>
    <w:rsid w:val="00F40D22"/>
    <w:rsid w:val="00F628D6"/>
    <w:rsid w:val="00F67051"/>
    <w:rsid w:val="00F86A1E"/>
    <w:rsid w:val="00FA5E88"/>
    <w:rsid w:val="00FD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85574888-09CB-4DF1-87AC-B64AD869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1A1"/>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FD61A1"/>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FD61A1"/>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FD61A1"/>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FD61A1"/>
    <w:pPr>
      <w:numPr>
        <w:numId w:val="36"/>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FD61A1"/>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FD61A1"/>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FD61A1"/>
    <w:rPr>
      <w:sz w:val="36"/>
      <w:szCs w:val="52"/>
    </w:rPr>
  </w:style>
  <w:style w:type="paragraph" w:customStyle="1" w:styleId="Cover3-Haknesset">
    <w:name w:val="Cover 3-Haknesset"/>
    <w:basedOn w:val="Cover1-Reshumot"/>
    <w:rsid w:val="00FD61A1"/>
    <w:rPr>
      <w:b/>
      <w:bCs/>
      <w:spacing w:val="60"/>
    </w:rPr>
  </w:style>
  <w:style w:type="paragraph" w:customStyle="1" w:styleId="Cover4-Date">
    <w:name w:val="Cover 4-Date"/>
    <w:basedOn w:val="a"/>
    <w:rsid w:val="00FD61A1"/>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FD61A1"/>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FD61A1"/>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FD61A1"/>
    <w:pPr>
      <w:spacing w:before="120" w:after="120"/>
    </w:pPr>
    <w:rPr>
      <w:color w:val="FF0000"/>
      <w:w w:val="80"/>
    </w:rPr>
  </w:style>
  <w:style w:type="paragraph" w:styleId="a3">
    <w:name w:val="endnote text"/>
    <w:basedOn w:val="a"/>
    <w:semiHidden/>
    <w:rsid w:val="00FD61A1"/>
    <w:pPr>
      <w:ind w:left="227" w:hanging="227"/>
    </w:pPr>
    <w:rPr>
      <w:sz w:val="14"/>
      <w:szCs w:val="22"/>
    </w:rPr>
  </w:style>
  <w:style w:type="paragraph" w:customStyle="1" w:styleId="TableText">
    <w:name w:val="Table Text"/>
    <w:basedOn w:val="a"/>
    <w:rsid w:val="00FD61A1"/>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FD61A1"/>
    <w:pPr>
      <w:outlineLvl w:val="2"/>
    </w:pPr>
  </w:style>
  <w:style w:type="paragraph" w:customStyle="1" w:styleId="TableBlock">
    <w:name w:val="Table Block"/>
    <w:basedOn w:val="TableText"/>
    <w:rsid w:val="00FD61A1"/>
    <w:pPr>
      <w:jc w:val="both"/>
    </w:pPr>
  </w:style>
  <w:style w:type="paragraph" w:customStyle="1" w:styleId="TableHead">
    <w:name w:val="Table Head"/>
    <w:basedOn w:val="TableText"/>
    <w:rsid w:val="00FD61A1"/>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FD61A1"/>
    <w:pPr>
      <w:outlineLvl w:val="9"/>
    </w:pPr>
  </w:style>
  <w:style w:type="paragraph" w:customStyle="1" w:styleId="Hesber">
    <w:name w:val="Hesber"/>
    <w:basedOn w:val="a"/>
    <w:rsid w:val="00FD61A1"/>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FD61A1"/>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FD61A1"/>
    <w:rPr>
      <w:vertAlign w:val="superscript"/>
    </w:rPr>
  </w:style>
  <w:style w:type="paragraph" w:customStyle="1" w:styleId="HesberHeading">
    <w:name w:val="Hesber Heading"/>
    <w:basedOn w:val="Hesber"/>
    <w:rsid w:val="00FD61A1"/>
    <w:pPr>
      <w:tabs>
        <w:tab w:val="left" w:pos="624"/>
        <w:tab w:val="left" w:pos="1247"/>
      </w:tabs>
    </w:pPr>
    <w:rPr>
      <w:b/>
      <w:bCs/>
    </w:rPr>
  </w:style>
  <w:style w:type="paragraph" w:customStyle="1" w:styleId="HesberWriters">
    <w:name w:val="Hesber Writers"/>
    <w:basedOn w:val="Hesber"/>
    <w:rsid w:val="00FD61A1"/>
    <w:pPr>
      <w:spacing w:before="120" w:after="120"/>
      <w:ind w:left="1418"/>
      <w:jc w:val="right"/>
    </w:pPr>
    <w:rPr>
      <w:b/>
      <w:bCs/>
    </w:rPr>
  </w:style>
  <w:style w:type="paragraph" w:customStyle="1" w:styleId="Hesber1st">
    <w:name w:val="Hesber 1st"/>
    <w:basedOn w:val="Hesber"/>
    <w:rsid w:val="00FD61A1"/>
    <w:pPr>
      <w:tabs>
        <w:tab w:val="left" w:pos="680"/>
        <w:tab w:val="left" w:pos="1020"/>
      </w:tabs>
      <w:ind w:firstLine="0"/>
    </w:pPr>
  </w:style>
  <w:style w:type="character" w:styleId="a7">
    <w:name w:val="endnote reference"/>
    <w:basedOn w:val="a0"/>
    <w:semiHidden/>
    <w:rsid w:val="00FD61A1"/>
    <w:rPr>
      <w:vertAlign w:val="superscript"/>
    </w:rPr>
  </w:style>
  <w:style w:type="paragraph" w:customStyle="1" w:styleId="TableBlockOutdent">
    <w:name w:val="Table BlockOutdent"/>
    <w:basedOn w:val="TableBlock"/>
    <w:rsid w:val="00FD61A1"/>
    <w:pPr>
      <w:ind w:left="624" w:hanging="624"/>
    </w:pPr>
  </w:style>
  <w:style w:type="paragraph" w:styleId="a8">
    <w:name w:val="header"/>
    <w:basedOn w:val="a"/>
    <w:rsid w:val="00FD61A1"/>
    <w:pPr>
      <w:tabs>
        <w:tab w:val="center" w:pos="4153"/>
        <w:tab w:val="right" w:pos="8306"/>
      </w:tabs>
    </w:pPr>
  </w:style>
  <w:style w:type="paragraph" w:styleId="a9">
    <w:name w:val="footer"/>
    <w:basedOn w:val="a"/>
    <w:rsid w:val="00FD61A1"/>
    <w:pPr>
      <w:tabs>
        <w:tab w:val="center" w:pos="4153"/>
        <w:tab w:val="right" w:pos="8306"/>
      </w:tabs>
    </w:pPr>
  </w:style>
  <w:style w:type="paragraph" w:customStyle="1" w:styleId="HeadDivreiHesber">
    <w:name w:val="Head DivreiHesber"/>
    <w:basedOn w:val="a"/>
    <w:rsid w:val="00FD61A1"/>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FD61A1"/>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FD61A1"/>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10">
    <w:name w:val="כותרת 1 תו"/>
    <w:basedOn w:val="a0"/>
    <w:link w:val="1"/>
    <w:uiPriority w:val="9"/>
    <w:rsid w:val="00FD61A1"/>
    <w:rPr>
      <w:rFonts w:asciiTheme="majorHAnsi" w:eastAsiaTheme="majorEastAsia" w:hAnsiTheme="majorHAnsi" w:cs="David"/>
      <w:bCs/>
      <w:sz w:val="32"/>
      <w:szCs w:val="36"/>
    </w:rPr>
  </w:style>
  <w:style w:type="character" w:customStyle="1" w:styleId="20">
    <w:name w:val="כותרת 2 תו"/>
    <w:basedOn w:val="a0"/>
    <w:link w:val="2"/>
    <w:rsid w:val="00FD61A1"/>
    <w:rPr>
      <w:rFonts w:asciiTheme="majorHAnsi" w:eastAsiaTheme="majorEastAsia" w:hAnsiTheme="majorHAnsi" w:cs="David"/>
      <w:bCs/>
      <w:sz w:val="26"/>
      <w:szCs w:val="36"/>
      <w:u w:val="single"/>
    </w:rPr>
  </w:style>
  <w:style w:type="character" w:customStyle="1" w:styleId="30">
    <w:name w:val="כותרת 3 תו"/>
    <w:basedOn w:val="a0"/>
    <w:link w:val="3"/>
    <w:rsid w:val="00FD61A1"/>
    <w:rPr>
      <w:rFonts w:asciiTheme="majorHAnsi" w:eastAsiaTheme="majorEastAsia" w:hAnsiTheme="majorHAnsi" w:cs="David"/>
      <w:sz w:val="24"/>
      <w:szCs w:val="28"/>
      <w:u w:val="double"/>
    </w:rPr>
  </w:style>
  <w:style w:type="character" w:customStyle="1" w:styleId="40">
    <w:name w:val="כותרת 4 תו"/>
    <w:basedOn w:val="a0"/>
    <w:link w:val="4"/>
    <w:uiPriority w:val="9"/>
    <w:rsid w:val="00FD61A1"/>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FD61A1"/>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FD61A1"/>
    <w:pPr>
      <w:widowControl/>
      <w:spacing w:before="120" w:after="120"/>
      <w:outlineLvl w:val="9"/>
    </w:pPr>
    <w:rPr>
      <w:rtl/>
      <w:cs/>
    </w:rPr>
  </w:style>
  <w:style w:type="paragraph" w:styleId="TOC1">
    <w:name w:val="toc 1"/>
    <w:basedOn w:val="a"/>
    <w:next w:val="a"/>
    <w:autoRedefine/>
    <w:uiPriority w:val="39"/>
    <w:unhideWhenUsed/>
    <w:rsid w:val="00FD61A1"/>
    <w:pPr>
      <w:tabs>
        <w:tab w:val="right" w:leader="dot" w:pos="9629"/>
      </w:tabs>
      <w:spacing w:after="100"/>
    </w:pPr>
    <w:rPr>
      <w:bCs/>
      <w:szCs w:val="22"/>
    </w:rPr>
  </w:style>
  <w:style w:type="paragraph" w:styleId="TOC2">
    <w:name w:val="toc 2"/>
    <w:basedOn w:val="a"/>
    <w:next w:val="a"/>
    <w:uiPriority w:val="39"/>
    <w:unhideWhenUsed/>
    <w:rsid w:val="00FD61A1"/>
    <w:pPr>
      <w:tabs>
        <w:tab w:val="right" w:leader="dot" w:pos="9628"/>
      </w:tabs>
      <w:spacing w:after="100"/>
    </w:pPr>
    <w:rPr>
      <w:szCs w:val="22"/>
    </w:rPr>
  </w:style>
  <w:style w:type="character" w:styleId="Hyperlink">
    <w:name w:val="Hyperlink"/>
    <w:basedOn w:val="a0"/>
    <w:uiPriority w:val="99"/>
    <w:unhideWhenUsed/>
    <w:rsid w:val="00FD61A1"/>
    <w:rPr>
      <w:color w:val="0000FF" w:themeColor="hyperlink"/>
      <w:u w:val="single"/>
    </w:rPr>
  </w:style>
  <w:style w:type="paragraph" w:styleId="TOC3">
    <w:name w:val="toc 3"/>
    <w:basedOn w:val="a"/>
    <w:next w:val="a"/>
    <w:uiPriority w:val="39"/>
    <w:unhideWhenUsed/>
    <w:rsid w:val="00FD61A1"/>
    <w:pPr>
      <w:numPr>
        <w:numId w:val="39"/>
      </w:numPr>
      <w:tabs>
        <w:tab w:val="right" w:leader="dot" w:pos="9629"/>
      </w:tabs>
      <w:spacing w:after="100"/>
      <w:ind w:left="811" w:hanging="357"/>
    </w:pPr>
    <w:rPr>
      <w:szCs w:val="22"/>
    </w:rPr>
  </w:style>
  <w:style w:type="paragraph" w:styleId="TOC4">
    <w:name w:val="toc 4"/>
    <w:basedOn w:val="a"/>
    <w:next w:val="a"/>
    <w:autoRedefine/>
    <w:unhideWhenUsed/>
    <w:qFormat/>
    <w:rsid w:val="00FD61A1"/>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FD61A1"/>
    <w:pPr>
      <w:tabs>
        <w:tab w:val="right" w:leader="dot" w:pos="9628"/>
      </w:tabs>
      <w:spacing w:after="100"/>
      <w:ind w:left="567"/>
    </w:pPr>
    <w:rPr>
      <w:szCs w:val="22"/>
    </w:rPr>
  </w:style>
  <w:style w:type="paragraph" w:styleId="TOC6">
    <w:name w:val="toc 6"/>
    <w:basedOn w:val="a"/>
    <w:next w:val="a"/>
    <w:autoRedefine/>
    <w:semiHidden/>
    <w:unhideWhenUsed/>
    <w:rsid w:val="00FD61A1"/>
    <w:pPr>
      <w:spacing w:after="100"/>
      <w:ind w:left="850"/>
    </w:pPr>
  </w:style>
  <w:style w:type="paragraph" w:styleId="TOC7">
    <w:name w:val="toc 7"/>
    <w:basedOn w:val="a"/>
    <w:next w:val="a"/>
    <w:autoRedefine/>
    <w:semiHidden/>
    <w:unhideWhenUsed/>
    <w:rsid w:val="00FD61A1"/>
    <w:pPr>
      <w:spacing w:after="100"/>
      <w:ind w:left="1020"/>
    </w:pPr>
  </w:style>
  <w:style w:type="paragraph" w:styleId="TOC8">
    <w:name w:val="toc 8"/>
    <w:basedOn w:val="a"/>
    <w:next w:val="a"/>
    <w:autoRedefine/>
    <w:semiHidden/>
    <w:unhideWhenUsed/>
    <w:rsid w:val="00FD61A1"/>
    <w:pPr>
      <w:spacing w:after="100"/>
      <w:ind w:left="1190"/>
    </w:pPr>
  </w:style>
  <w:style w:type="paragraph" w:styleId="TOC9">
    <w:name w:val="toc 9"/>
    <w:basedOn w:val="a"/>
    <w:next w:val="a"/>
    <w:autoRedefine/>
    <w:semiHidden/>
    <w:unhideWhenUsed/>
    <w:rsid w:val="00FD61A1"/>
    <w:pPr>
      <w:spacing w:after="100"/>
      <w:ind w:left="1360"/>
    </w:pPr>
  </w:style>
  <w:style w:type="paragraph" w:customStyle="1" w:styleId="TableHead2">
    <w:name w:val="Table Head2"/>
    <w:basedOn w:val="TableHead"/>
    <w:qFormat/>
    <w:rsid w:val="00FD61A1"/>
    <w:pPr>
      <w:outlineLvl w:val="9"/>
    </w:pPr>
  </w:style>
  <w:style w:type="paragraph" w:customStyle="1" w:styleId="TableSideHeading2">
    <w:name w:val="Table SideHeading2"/>
    <w:basedOn w:val="TableSideHeading"/>
    <w:autoRedefine/>
    <w:qFormat/>
    <w:rsid w:val="00FD61A1"/>
    <w:pPr>
      <w:keepLines w:val="0"/>
      <w:outlineLvl w:val="9"/>
    </w:pPr>
  </w:style>
  <w:style w:type="paragraph" w:customStyle="1" w:styleId="0">
    <w:name w:val="סגנון שורה ראשונה:  0  ס''מ"/>
    <w:basedOn w:val="2"/>
    <w:rsid w:val="00FD61A1"/>
    <w:rPr>
      <w:rFonts w:eastAsia="Times New Roman"/>
    </w:rPr>
  </w:style>
  <w:style w:type="paragraph" w:styleId="af">
    <w:name w:val="List Paragraph"/>
    <w:basedOn w:val="a"/>
    <w:uiPriority w:val="34"/>
    <w:qFormat/>
    <w:rsid w:val="00FD61A1"/>
    <w:pPr>
      <w:widowControl/>
      <w:spacing w:line="259" w:lineRule="auto"/>
    </w:pPr>
    <w:rPr>
      <w:rFonts w:asciiTheme="minorHAnsi" w:hAnsiTheme="minorHAnsi"/>
      <w:sz w:val="22"/>
    </w:rPr>
  </w:style>
  <w:style w:type="table" w:styleId="af0">
    <w:name w:val="Table Grid"/>
    <w:basedOn w:val="a1"/>
    <w:rsid w:val="00FD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FD61A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FD61A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FD61A1"/>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FD61A1"/>
    <w:tblPr/>
    <w:tblStylePr w:type="firstCol">
      <w:pPr>
        <w:keepNext w:val="0"/>
        <w:keepLines/>
        <w:pageBreakBefore w:val="0"/>
        <w:widowControl w:val="0"/>
        <w:suppressLineNumbers w:val="0"/>
        <w:suppressAutoHyphens w:val="0"/>
        <w:wordWrap/>
      </w:pPr>
    </w:tblStylePr>
  </w:style>
  <w:style w:type="character" w:customStyle="1" w:styleId="a5">
    <w:name w:val="טקסט הערת שוליים תו"/>
    <w:basedOn w:val="a0"/>
    <w:link w:val="a4"/>
    <w:semiHidden/>
    <w:rsid w:val="00FD61A1"/>
    <w:rPr>
      <w:rFonts w:ascii="Arial" w:eastAsia="Arial Unicode MS" w:hAnsi="Arial" w:cs="David"/>
      <w:snapToGrid w:val="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3D6E9C754E1F7C4C891E9EE2E0AF8150" ma:contentTypeVersion="" ma:contentTypeDescription="צור מסמך חדש." ma:contentTypeScope="" ma:versionID="9191f7e1bb085ece6465964dba42d442">
  <xsd:schema xmlns:xsd="http://www.w3.org/2001/XMLSchema" xmlns:xs="http://www.w3.org/2001/XMLSchema" xmlns:p="http://schemas.microsoft.com/office/2006/metadata/properties" xmlns:ns2="290d5b49-c690-4c6f-bbb9-1e50dab33eee" targetNamespace="http://schemas.microsoft.com/office/2006/metadata/properties" ma:root="true" ma:fieldsID="fb4ed97e084053ed652bcef757b4ab45"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7E89EBB4-2BBE-4AE4-8E92-FDA979DE9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E526-23EF-4F08-AB5D-6ED2ED5B9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1260</Words>
  <Characters>7187</Characters>
  <Application>Microsoft Office Word</Application>
  <DocSecurity>0</DocSecurity>
  <Lines>59</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33</cp:revision>
  <cp:lastPrinted>2020-08-23T08:49:00Z</cp:lastPrinted>
  <dcterms:created xsi:type="dcterms:W3CDTF">2015-04-20T09:58:00Z</dcterms:created>
  <dcterms:modified xsi:type="dcterms:W3CDTF">2020-08-23T09:01:00Z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0x0101003D6E9C754E1F7C4C891E9EE2E0AF8150</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2144550</vt:r8>
  </property>
</Properties>
</file>