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2142256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אלכס קושניר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יוליה מלינובסקי קונין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אבידר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חמד עמאר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אביגדור ליברמן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046F6564" w:rsidR="00E13C27" w:rsidRPr="00E06736" w:rsidRDefault="00904591" w:rsidP="00BB41E8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פ/1810/23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5B98BA43" w:rsidR="00E13C27" w:rsidRPr="00F67051" w:rsidRDefault="00A443CF" w:rsidP="00E70B56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הגנת הצרכן (תיקון – השוואת תנאי צרכן ועוסק בעניין החזרת טובין), התש"ף–2020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D54B1B" w14:paraId="34CB59A6" w14:textId="77777777" w:rsidTr="0055575C">
        <w:trPr>
          <w:cantSplit/>
        </w:trPr>
        <w:tc>
          <w:tcPr>
            <w:tcW w:w="1871" w:type="dxa"/>
          </w:tcPr>
          <w:p w14:paraId="3E219918" w14:textId="77777777" w:rsidR="00D54B1B" w:rsidRDefault="00D54B1B" w:rsidP="00BE3D3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4ג</w:t>
            </w:r>
          </w:p>
        </w:tc>
        <w:tc>
          <w:tcPr>
            <w:tcW w:w="624" w:type="dxa"/>
          </w:tcPr>
          <w:p w14:paraId="29FB005E" w14:textId="77777777" w:rsidR="00D54B1B" w:rsidRDefault="00D54B1B" w:rsidP="00BE3D3D">
            <w:pPr>
              <w:pStyle w:val="TableText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 xml:space="preserve">1. </w:t>
            </w:r>
          </w:p>
        </w:tc>
        <w:tc>
          <w:tcPr>
            <w:tcW w:w="7143" w:type="dxa"/>
          </w:tcPr>
          <w:p w14:paraId="1D49D70A" w14:textId="695B254A" w:rsidR="00D54B1B" w:rsidRDefault="00D54B1B" w:rsidP="0055575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בחוק הגנת הצרכן, התשמ"א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1981</w:t>
            </w:r>
            <w:r w:rsidRPr="0055575C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 w:rsidR="00BF06B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(להלן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החוק העיקרי), בסעיף 4ג(ב), במקום  "שבעה ימים" יבוא "שבעה ימי עסקים".</w:t>
            </w:r>
          </w:p>
        </w:tc>
      </w:tr>
      <w:tr w:rsidR="00D54B1B" w14:paraId="7500C640" w14:textId="77777777" w:rsidTr="0055575C">
        <w:trPr>
          <w:cantSplit/>
        </w:trPr>
        <w:tc>
          <w:tcPr>
            <w:tcW w:w="1871" w:type="dxa"/>
          </w:tcPr>
          <w:p w14:paraId="783B05ED" w14:textId="77777777" w:rsidR="00D54B1B" w:rsidRDefault="00D54B1B" w:rsidP="00BE3D3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13ב2</w:t>
            </w:r>
          </w:p>
        </w:tc>
        <w:tc>
          <w:tcPr>
            <w:tcW w:w="624" w:type="dxa"/>
          </w:tcPr>
          <w:p w14:paraId="0B5F4006" w14:textId="77777777" w:rsidR="00D54B1B" w:rsidRDefault="00D54B1B" w:rsidP="00BE3D3D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14:paraId="6027E172" w14:textId="13B87E72" w:rsidR="00D54B1B" w:rsidRDefault="00D54B1B" w:rsidP="0039501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בסעיף 13ב2 לחוק העיקרי</w:t>
            </w:r>
            <w:r w:rsidR="00395012">
              <w:rPr>
                <w:rFonts w:hint="cs"/>
                <w:rtl/>
              </w:rPr>
              <w:t xml:space="preserve"> –</w:t>
            </w:r>
          </w:p>
        </w:tc>
      </w:tr>
      <w:tr w:rsidR="00395012" w14:paraId="1DF6A3FD" w14:textId="77777777" w:rsidTr="0055575C">
        <w:trPr>
          <w:cantSplit/>
        </w:trPr>
        <w:tc>
          <w:tcPr>
            <w:tcW w:w="1871" w:type="dxa"/>
          </w:tcPr>
          <w:p w14:paraId="5578AAEE" w14:textId="77777777" w:rsidR="00395012" w:rsidRDefault="00395012" w:rsidP="00BE3D3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1142410F" w14:textId="77777777" w:rsidR="00395012" w:rsidRDefault="00395012" w:rsidP="00395012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35C692B3" w14:textId="6DA5C070" w:rsidR="00395012" w:rsidRDefault="00395012" w:rsidP="0039501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בכל מקום, במקום "14 ימים" יבוא "14 ימי עסקים";</w:t>
            </w:r>
          </w:p>
        </w:tc>
      </w:tr>
      <w:tr w:rsidR="00395012" w14:paraId="0B3336BD" w14:textId="77777777" w:rsidTr="0055575C">
        <w:trPr>
          <w:cantSplit/>
        </w:trPr>
        <w:tc>
          <w:tcPr>
            <w:tcW w:w="1871" w:type="dxa"/>
          </w:tcPr>
          <w:p w14:paraId="6EBEEAF3" w14:textId="77777777" w:rsidR="00395012" w:rsidRDefault="00395012" w:rsidP="00BE3D3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2D486C1B" w14:textId="77777777" w:rsidR="00395012" w:rsidRDefault="00395012" w:rsidP="00395012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4E681D27" w14:textId="69A6C3DB" w:rsidR="00395012" w:rsidRDefault="00395012" w:rsidP="0076302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(ג), במקום "14 הימים" יבוא "14 ימי העסקים".</w:t>
            </w:r>
          </w:p>
        </w:tc>
      </w:tr>
      <w:tr w:rsidR="00D54B1B" w14:paraId="16196DB3" w14:textId="77777777" w:rsidTr="0055575C">
        <w:trPr>
          <w:cantSplit/>
        </w:trPr>
        <w:tc>
          <w:tcPr>
            <w:tcW w:w="1871" w:type="dxa"/>
          </w:tcPr>
          <w:p w14:paraId="39C27E69" w14:textId="77777777" w:rsidR="00D54B1B" w:rsidRDefault="00D54B1B" w:rsidP="00BE3D3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13ו</w:t>
            </w:r>
          </w:p>
        </w:tc>
        <w:tc>
          <w:tcPr>
            <w:tcW w:w="624" w:type="dxa"/>
          </w:tcPr>
          <w:p w14:paraId="7578510B" w14:textId="77777777" w:rsidR="00D54B1B" w:rsidRDefault="00D54B1B" w:rsidP="00BE3D3D">
            <w:pPr>
              <w:pStyle w:val="TableText"/>
              <w:keepLines w:val="0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</w:tcPr>
          <w:p w14:paraId="23C9F71A" w14:textId="574AE4ED" w:rsidR="00D54B1B" w:rsidRDefault="00D54B1B" w:rsidP="00A13E4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בסעיף 13ו(א) לחוק העיקרי</w:t>
            </w:r>
            <w:r w:rsidR="00A13E4B">
              <w:rPr>
                <w:rFonts w:hint="cs"/>
                <w:rtl/>
              </w:rPr>
              <w:t xml:space="preserve"> –</w:t>
            </w:r>
          </w:p>
        </w:tc>
      </w:tr>
      <w:tr w:rsidR="00A13E4B" w14:paraId="1B7EA6EA" w14:textId="77777777" w:rsidTr="0055575C">
        <w:trPr>
          <w:cantSplit/>
        </w:trPr>
        <w:tc>
          <w:tcPr>
            <w:tcW w:w="1871" w:type="dxa"/>
          </w:tcPr>
          <w:p w14:paraId="46C92CF8" w14:textId="77777777" w:rsidR="00A13E4B" w:rsidRDefault="00A13E4B" w:rsidP="00BE3D3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2ECEF8D1" w14:textId="77777777" w:rsidR="00A13E4B" w:rsidRDefault="00A13E4B" w:rsidP="00A13E4B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552C31C8" w14:textId="21D49959" w:rsidR="00A13E4B" w:rsidRDefault="00A13E4B" w:rsidP="0076302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בפסקה (1), במקום "שלושים ימים" יבוא "30 ימי עסקים";</w:t>
            </w:r>
          </w:p>
        </w:tc>
      </w:tr>
      <w:tr w:rsidR="00A13E4B" w14:paraId="28A82725" w14:textId="77777777" w:rsidTr="0055575C">
        <w:trPr>
          <w:cantSplit/>
        </w:trPr>
        <w:tc>
          <w:tcPr>
            <w:tcW w:w="1871" w:type="dxa"/>
          </w:tcPr>
          <w:p w14:paraId="2C73E7EA" w14:textId="77777777" w:rsidR="00A13E4B" w:rsidRDefault="00A13E4B" w:rsidP="00BE3D3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7594C177" w14:textId="77777777" w:rsidR="00A13E4B" w:rsidRDefault="00A13E4B" w:rsidP="00A13E4B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66CEDAAE" w14:textId="593E5A23" w:rsidR="00A13E4B" w:rsidRDefault="00A13E4B" w:rsidP="0076302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בפסקה (2), במקום "שלושים הימים" יבוא "30 ימי העסקים".</w:t>
            </w:r>
          </w:p>
        </w:tc>
      </w:tr>
      <w:tr w:rsidR="00D54B1B" w14:paraId="57672D4E" w14:textId="77777777" w:rsidTr="0055575C">
        <w:trPr>
          <w:cantSplit/>
        </w:trPr>
        <w:tc>
          <w:tcPr>
            <w:tcW w:w="1871" w:type="dxa"/>
          </w:tcPr>
          <w:p w14:paraId="689229EA" w14:textId="77777777" w:rsidR="00D54B1B" w:rsidRDefault="00D54B1B" w:rsidP="00BE3D3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14</w:t>
            </w:r>
          </w:p>
        </w:tc>
        <w:tc>
          <w:tcPr>
            <w:tcW w:w="624" w:type="dxa"/>
          </w:tcPr>
          <w:p w14:paraId="4A5EF78F" w14:textId="77777777" w:rsidR="00D54B1B" w:rsidRDefault="00D54B1B" w:rsidP="00BE3D3D">
            <w:pPr>
              <w:pStyle w:val="TableText"/>
              <w:keepLines w:val="0"/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143" w:type="dxa"/>
          </w:tcPr>
          <w:p w14:paraId="384C04F6" w14:textId="1CE7B0E0" w:rsidR="00D54B1B" w:rsidRDefault="00D54B1B" w:rsidP="000072FA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בסעיף 14</w:t>
            </w:r>
            <w:r w:rsidR="000072FA">
              <w:rPr>
                <w:rFonts w:hint="cs"/>
                <w:rtl/>
              </w:rPr>
              <w:t>(א)</w:t>
            </w:r>
            <w:r>
              <w:rPr>
                <w:rFonts w:hint="cs"/>
                <w:rtl/>
              </w:rPr>
              <w:t xml:space="preserve"> לחוק העיקרי, בכל מקום, במקום "ארבעה</w:t>
            </w:r>
            <w:r w:rsidR="000072FA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עשר ימים" יבוא "</w:t>
            </w:r>
            <w:r w:rsidR="00763024">
              <w:rPr>
                <w:rFonts w:hint="cs"/>
                <w:rtl/>
              </w:rPr>
              <w:t>14</w:t>
            </w:r>
            <w:r>
              <w:rPr>
                <w:rFonts w:hint="cs"/>
                <w:rtl/>
              </w:rPr>
              <w:t xml:space="preserve"> ימי עסקים".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91BBAC9" w14:textId="2E123F52" w:rsidR="00D54B1B" w:rsidRPr="0055575C" w:rsidRDefault="00FA5CED" w:rsidP="00FA5CED">
      <w:pPr>
        <w:pStyle w:val="Hesber"/>
        <w:rPr>
          <w:rtl/>
        </w:rPr>
      </w:pPr>
      <w:r>
        <w:rPr>
          <w:rFonts w:hint="cs"/>
          <w:rtl/>
        </w:rPr>
        <w:t xml:space="preserve">מטרתה של </w:t>
      </w:r>
      <w:r w:rsidR="00D54B1B" w:rsidRPr="0055575C">
        <w:rPr>
          <w:rFonts w:hint="cs"/>
          <w:rtl/>
        </w:rPr>
        <w:t>הצעת חוק זו להשוות בין תנאי</w:t>
      </w:r>
      <w:r>
        <w:rPr>
          <w:rFonts w:hint="cs"/>
          <w:rtl/>
        </w:rPr>
        <w:t xml:space="preserve">ו של צרכן </w:t>
      </w:r>
      <w:r w:rsidR="00D54B1B" w:rsidRPr="0055575C">
        <w:rPr>
          <w:rFonts w:hint="cs"/>
          <w:rtl/>
        </w:rPr>
        <w:t>ו</w:t>
      </w:r>
      <w:r>
        <w:rPr>
          <w:rFonts w:hint="cs"/>
          <w:rtl/>
        </w:rPr>
        <w:t xml:space="preserve">תנאיו של עוסק </w:t>
      </w:r>
      <w:r w:rsidR="00D54B1B" w:rsidRPr="0055575C">
        <w:rPr>
          <w:rFonts w:hint="cs"/>
          <w:rtl/>
        </w:rPr>
        <w:t xml:space="preserve">בעניין החזרת טובין. </w:t>
      </w:r>
    </w:p>
    <w:p w14:paraId="57D9744E" w14:textId="0B2A8658" w:rsidR="00D54B1B" w:rsidRDefault="00D54B1B" w:rsidP="00E70B56">
      <w:pPr>
        <w:pStyle w:val="Hesber"/>
        <w:rPr>
          <w:rtl/>
        </w:rPr>
      </w:pPr>
      <w:r w:rsidRPr="0055575C">
        <w:rPr>
          <w:rFonts w:hint="cs"/>
          <w:rtl/>
        </w:rPr>
        <w:t>בחוק הגנת הצרכן</w:t>
      </w:r>
      <w:r w:rsidR="00961E36">
        <w:rPr>
          <w:rFonts w:hint="cs"/>
          <w:rtl/>
        </w:rPr>
        <w:t>, התשמ"א</w:t>
      </w:r>
      <w:r w:rsidR="00961E36">
        <w:rPr>
          <w:rFonts w:hint="eastAsia"/>
          <w:rtl/>
        </w:rPr>
        <w:t>–</w:t>
      </w:r>
      <w:r w:rsidR="00961E36">
        <w:rPr>
          <w:rFonts w:hint="cs"/>
          <w:rtl/>
        </w:rPr>
        <w:t>1981,</w:t>
      </w:r>
      <w:r w:rsidRPr="0055575C">
        <w:rPr>
          <w:rFonts w:hint="cs"/>
          <w:rtl/>
        </w:rPr>
        <w:t xml:space="preserve"> נקבעו פרקי זמן </w:t>
      </w:r>
      <w:r w:rsidR="00763024">
        <w:rPr>
          <w:rFonts w:hint="cs"/>
          <w:rtl/>
        </w:rPr>
        <w:t>ש</w:t>
      </w:r>
      <w:r w:rsidRPr="0055575C">
        <w:rPr>
          <w:rFonts w:hint="cs"/>
          <w:rtl/>
        </w:rPr>
        <w:t xml:space="preserve">בהם רשאי </w:t>
      </w:r>
      <w:r w:rsidR="00F51736">
        <w:rPr>
          <w:rFonts w:hint="cs"/>
          <w:rtl/>
        </w:rPr>
        <w:t>עוסק</w:t>
      </w:r>
      <w:r w:rsidRPr="0055575C">
        <w:rPr>
          <w:rFonts w:hint="cs"/>
          <w:rtl/>
        </w:rPr>
        <w:t xml:space="preserve"> להשיב סכום כספי ששולם </w:t>
      </w:r>
      <w:r w:rsidR="00961E36" w:rsidRPr="0055575C">
        <w:rPr>
          <w:rFonts w:hint="cs"/>
          <w:rtl/>
        </w:rPr>
        <w:t>ב</w:t>
      </w:r>
      <w:r w:rsidR="00961E36">
        <w:rPr>
          <w:rFonts w:hint="cs"/>
          <w:rtl/>
        </w:rPr>
        <w:t>של</w:t>
      </w:r>
      <w:r w:rsidR="00961E36" w:rsidRPr="0055575C">
        <w:rPr>
          <w:rFonts w:hint="cs"/>
          <w:rtl/>
        </w:rPr>
        <w:t xml:space="preserve"> </w:t>
      </w:r>
      <w:r w:rsidRPr="0055575C">
        <w:rPr>
          <w:rFonts w:hint="cs"/>
          <w:rtl/>
        </w:rPr>
        <w:t xml:space="preserve">ביטול עסקה. רבים מסעיפי החוק מתייחסים ל"ימי עסקים" ובכך מאפשרים </w:t>
      </w:r>
      <w:r w:rsidR="00F51736">
        <w:rPr>
          <w:rFonts w:hint="cs"/>
          <w:rtl/>
        </w:rPr>
        <w:t>לעוסק</w:t>
      </w:r>
      <w:r w:rsidRPr="0055575C">
        <w:rPr>
          <w:rFonts w:hint="cs"/>
          <w:rtl/>
        </w:rPr>
        <w:t xml:space="preserve"> פרק זמן סביר </w:t>
      </w:r>
      <w:r w:rsidR="00F51736">
        <w:rPr>
          <w:rFonts w:hint="cs"/>
          <w:rtl/>
        </w:rPr>
        <w:lastRenderedPageBreak/>
        <w:t>כדי</w:t>
      </w:r>
      <w:r w:rsidRPr="0055575C">
        <w:rPr>
          <w:rFonts w:hint="cs"/>
          <w:rtl/>
        </w:rPr>
        <w:t xml:space="preserve"> להתארגן ולמלא את תנאי ביטול העסקה, אך בכל הקשור לחובתו של </w:t>
      </w:r>
      <w:r w:rsidR="00F51736">
        <w:rPr>
          <w:rFonts w:hint="cs"/>
          <w:rtl/>
        </w:rPr>
        <w:t xml:space="preserve">הצרכן </w:t>
      </w:r>
      <w:r w:rsidRPr="0055575C">
        <w:rPr>
          <w:rFonts w:hint="cs"/>
          <w:rtl/>
        </w:rPr>
        <w:t xml:space="preserve">מתייחס החוק לימים ובכך מפלה לרעת </w:t>
      </w:r>
      <w:r w:rsidR="00F51736">
        <w:rPr>
          <w:rFonts w:hint="cs"/>
          <w:rtl/>
        </w:rPr>
        <w:t>הצרכן</w:t>
      </w:r>
      <w:r w:rsidRPr="0055575C">
        <w:rPr>
          <w:rFonts w:hint="cs"/>
          <w:rtl/>
        </w:rPr>
        <w:t xml:space="preserve">, ואת </w:t>
      </w:r>
      <w:r w:rsidR="00961E36">
        <w:rPr>
          <w:rFonts w:hint="cs"/>
          <w:rtl/>
        </w:rPr>
        <w:t>ה</w:t>
      </w:r>
      <w:r w:rsidRPr="0055575C">
        <w:rPr>
          <w:rFonts w:hint="cs"/>
          <w:rtl/>
        </w:rPr>
        <w:t xml:space="preserve">הפליה </w:t>
      </w:r>
      <w:r w:rsidR="00961E36">
        <w:rPr>
          <w:rFonts w:hint="cs"/>
          <w:rtl/>
        </w:rPr>
        <w:t>ה</w:t>
      </w:r>
      <w:r w:rsidRPr="0055575C">
        <w:rPr>
          <w:rFonts w:hint="cs"/>
          <w:rtl/>
        </w:rPr>
        <w:t>זו מבקשת הצעת החוק לתקן.</w:t>
      </w:r>
      <w:r w:rsidR="00F51736">
        <w:rPr>
          <w:rFonts w:hint="cs"/>
          <w:rtl/>
        </w:rPr>
        <w:t xml:space="preserve"> לפיכך, מוצע לקבוע כי הוראות </w:t>
      </w:r>
      <w:r w:rsidR="00961E36">
        <w:rPr>
          <w:rFonts w:hint="cs"/>
          <w:rtl/>
        </w:rPr>
        <w:t xml:space="preserve">החוק </w:t>
      </w:r>
      <w:r w:rsidR="00F51736">
        <w:rPr>
          <w:rFonts w:hint="cs"/>
          <w:rtl/>
        </w:rPr>
        <w:t>הקוצבות בזמן את זכאותו של צרכן לבטל עסקה או לשלם חוב יתייחסו לימי עסקים במקום לימים.</w:t>
      </w:r>
    </w:p>
    <w:p w14:paraId="156DD831" w14:textId="6F42D315" w:rsidR="001E15DE" w:rsidRDefault="001E15DE" w:rsidP="00E70B56">
      <w:pPr>
        <w:pStyle w:val="Hesber"/>
        <w:rPr>
          <w:rtl/>
        </w:rPr>
      </w:pPr>
    </w:p>
    <w:p w14:paraId="5E0F07B2" w14:textId="77777777" w:rsidR="001E15DE" w:rsidRPr="00D73212" w:rsidRDefault="001E15DE" w:rsidP="001E15DE">
      <w:pPr>
        <w:pStyle w:val="Hesber"/>
        <w:ind w:firstLine="0"/>
        <w:rPr>
          <w:rtl/>
        </w:rPr>
      </w:pPr>
      <w:r w:rsidRPr="00D73212">
        <w:rPr>
          <w:rtl/>
        </w:rPr>
        <w:t>---------------------------------</w:t>
      </w:r>
    </w:p>
    <w:p w14:paraId="01A71A20" w14:textId="77777777" w:rsidR="001E15DE" w:rsidRPr="0051670D" w:rsidRDefault="001E15DE" w:rsidP="001E15DE">
      <w:pPr>
        <w:pStyle w:val="Hesber"/>
        <w:ind w:firstLine="0"/>
        <w:rPr>
          <w:sz w:val="26"/>
          <w:rtl/>
        </w:rPr>
      </w:pPr>
      <w:r w:rsidRPr="0051670D">
        <w:rPr>
          <w:rFonts w:hint="cs"/>
          <w:sz w:val="26"/>
          <w:rtl/>
        </w:rPr>
        <w:t>הוגשה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ליו</w:t>
      </w:r>
      <w:r w:rsidRPr="0051670D">
        <w:rPr>
          <w:sz w:val="26"/>
          <w:rtl/>
        </w:rPr>
        <w:t>"</w:t>
      </w:r>
      <w:r w:rsidRPr="0051670D">
        <w:rPr>
          <w:rFonts w:hint="cs"/>
          <w:sz w:val="26"/>
          <w:rtl/>
        </w:rPr>
        <w:t>ר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הכנסת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והסגנים</w:t>
      </w:r>
    </w:p>
    <w:p w14:paraId="02A1E4AB" w14:textId="77777777" w:rsidR="001E15DE" w:rsidRPr="0051670D" w:rsidRDefault="001E15DE" w:rsidP="001E15DE">
      <w:pPr>
        <w:pStyle w:val="Hesber"/>
        <w:ind w:firstLine="0"/>
        <w:rPr>
          <w:sz w:val="26"/>
          <w:rtl/>
        </w:rPr>
      </w:pPr>
      <w:r w:rsidRPr="0051670D">
        <w:rPr>
          <w:rFonts w:hint="cs"/>
          <w:sz w:val="26"/>
          <w:rtl/>
        </w:rPr>
        <w:t>והונחה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על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שולחן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הכנסת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ביום</w:t>
      </w:r>
    </w:p>
    <w:p w14:paraId="17CE1997" w14:textId="77777777" w:rsidR="001E15DE" w:rsidRPr="0051670D" w:rsidRDefault="001E15DE" w:rsidP="001E15DE">
      <w:pPr>
        <w:pStyle w:val="Hesber"/>
        <w:ind w:firstLine="0"/>
        <w:rPr>
          <w:sz w:val="26"/>
          <w:rtl/>
        </w:rPr>
      </w:pPr>
      <w:r>
        <w:rPr>
          <w:rFonts w:hint="cs"/>
          <w:rtl/>
        </w:rPr>
        <w:t>כ'</w:t>
      </w:r>
      <w:r w:rsidRPr="0051670D">
        <w:rPr>
          <w:rFonts w:hint="cs"/>
          <w:sz w:val="26"/>
          <w:rtl/>
        </w:rPr>
        <w:t xml:space="preserve"> ב</w:t>
      </w:r>
      <w:r>
        <w:rPr>
          <w:rFonts w:hint="cs"/>
          <w:sz w:val="26"/>
          <w:rtl/>
        </w:rPr>
        <w:t>אב</w:t>
      </w:r>
      <w:r w:rsidRPr="0051670D">
        <w:rPr>
          <w:rFonts w:hint="cs"/>
          <w:sz w:val="26"/>
          <w:rtl/>
        </w:rPr>
        <w:t xml:space="preserve"> התש"ף </w:t>
      </w:r>
      <w:r w:rsidRPr="0051670D">
        <w:rPr>
          <w:sz w:val="26"/>
          <w:rtl/>
        </w:rPr>
        <w:t>–</w:t>
      </w:r>
      <w:r w:rsidRPr="0051670D">
        <w:rPr>
          <w:rFonts w:hint="cs"/>
          <w:sz w:val="26"/>
          <w:rtl/>
        </w:rPr>
        <w:t xml:space="preserve"> </w:t>
      </w:r>
      <w:r>
        <w:rPr>
          <w:rFonts w:hint="cs"/>
          <w:sz w:val="26"/>
          <w:rtl/>
        </w:rPr>
        <w:t>10.8.20</w:t>
      </w:r>
    </w:p>
    <w:p w14:paraId="546CDC0D" w14:textId="77777777" w:rsidR="001E15DE" w:rsidRPr="0055575C" w:rsidRDefault="001E15DE" w:rsidP="00E70B56">
      <w:pPr>
        <w:pStyle w:val="Hesber"/>
        <w:rPr>
          <w:rtl/>
        </w:rPr>
      </w:pPr>
      <w:bookmarkStart w:id="8" w:name="_GoBack"/>
      <w:bookmarkEnd w:id="8"/>
    </w:p>
    <w:sectPr w:rsidR="001E15DE" w:rsidRPr="0055575C" w:rsidSect="0055575C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1E15DE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55575C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C41DE4E" w14:textId="77777777" w:rsidR="00D54B1B" w:rsidRDefault="00D54B1B" w:rsidP="00D54B1B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התשמ"א, עמ' 248.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80CB9"/>
    <w:multiLevelType w:val="hybridMultilevel"/>
    <w:tmpl w:val="1018E27C"/>
    <w:lvl w:ilvl="0" w:tplc="784EA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072FA"/>
    <w:rsid w:val="00015B27"/>
    <w:rsid w:val="00063A3E"/>
    <w:rsid w:val="00072CAC"/>
    <w:rsid w:val="0007681A"/>
    <w:rsid w:val="000A542E"/>
    <w:rsid w:val="00102B6B"/>
    <w:rsid w:val="001052D4"/>
    <w:rsid w:val="0010644B"/>
    <w:rsid w:val="001148A0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1E15DE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2F4060"/>
    <w:rsid w:val="0032264F"/>
    <w:rsid w:val="003232A2"/>
    <w:rsid w:val="00325C14"/>
    <w:rsid w:val="0036422C"/>
    <w:rsid w:val="003710F6"/>
    <w:rsid w:val="00386E88"/>
    <w:rsid w:val="00395012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41239"/>
    <w:rsid w:val="00553C9D"/>
    <w:rsid w:val="0055575C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024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1E36"/>
    <w:rsid w:val="00966D06"/>
    <w:rsid w:val="00982412"/>
    <w:rsid w:val="00983A8D"/>
    <w:rsid w:val="009A0DB8"/>
    <w:rsid w:val="009A7257"/>
    <w:rsid w:val="009D6E0A"/>
    <w:rsid w:val="009E1E33"/>
    <w:rsid w:val="00A13E4B"/>
    <w:rsid w:val="00A14672"/>
    <w:rsid w:val="00A26BD6"/>
    <w:rsid w:val="00A443CF"/>
    <w:rsid w:val="00A6611D"/>
    <w:rsid w:val="00A82CB7"/>
    <w:rsid w:val="00A9351B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B41E8"/>
    <w:rsid w:val="00BC45FB"/>
    <w:rsid w:val="00BF06B7"/>
    <w:rsid w:val="00BF148D"/>
    <w:rsid w:val="00C23B1A"/>
    <w:rsid w:val="00C310EB"/>
    <w:rsid w:val="00C9176A"/>
    <w:rsid w:val="00CA383C"/>
    <w:rsid w:val="00CF1AA2"/>
    <w:rsid w:val="00D142D3"/>
    <w:rsid w:val="00D17774"/>
    <w:rsid w:val="00D54B1B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0A55"/>
    <w:rsid w:val="00E62778"/>
    <w:rsid w:val="00E635A2"/>
    <w:rsid w:val="00E63D38"/>
    <w:rsid w:val="00E665B9"/>
    <w:rsid w:val="00E70B56"/>
    <w:rsid w:val="00EA01E6"/>
    <w:rsid w:val="00EA3DE8"/>
    <w:rsid w:val="00EA758F"/>
    <w:rsid w:val="00ED4A6F"/>
    <w:rsid w:val="00EF3A3A"/>
    <w:rsid w:val="00F04BDC"/>
    <w:rsid w:val="00F51736"/>
    <w:rsid w:val="00F628D6"/>
    <w:rsid w:val="00F67051"/>
    <w:rsid w:val="00F86A1E"/>
    <w:rsid w:val="00FA5CED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BEDDF74-0EA3-4C53-B1FD-11AC7CE5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5C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75C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55575C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55575C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55575C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5575C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55575C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55575C"/>
    <w:rPr>
      <w:sz w:val="36"/>
      <w:szCs w:val="52"/>
    </w:rPr>
  </w:style>
  <w:style w:type="paragraph" w:customStyle="1" w:styleId="Cover3-Haknesset">
    <w:name w:val="Cover 3-Haknesset"/>
    <w:basedOn w:val="Cover1-Reshumot"/>
    <w:rsid w:val="0055575C"/>
    <w:rPr>
      <w:b/>
      <w:bCs/>
      <w:spacing w:val="60"/>
    </w:rPr>
  </w:style>
  <w:style w:type="paragraph" w:customStyle="1" w:styleId="Cover4-Date">
    <w:name w:val="Cover 4-Date"/>
    <w:basedOn w:val="a"/>
    <w:rsid w:val="0055575C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55575C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55575C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55575C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55575C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55575C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55575C"/>
    <w:pPr>
      <w:outlineLvl w:val="2"/>
    </w:pPr>
  </w:style>
  <w:style w:type="paragraph" w:customStyle="1" w:styleId="TableBlock">
    <w:name w:val="Table Block"/>
    <w:basedOn w:val="TableText"/>
    <w:rsid w:val="0055575C"/>
    <w:pPr>
      <w:jc w:val="both"/>
    </w:pPr>
  </w:style>
  <w:style w:type="paragraph" w:customStyle="1" w:styleId="TableHead">
    <w:name w:val="Table Head"/>
    <w:basedOn w:val="TableText"/>
    <w:rsid w:val="0055575C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55575C"/>
    <w:pPr>
      <w:outlineLvl w:val="9"/>
    </w:pPr>
  </w:style>
  <w:style w:type="paragraph" w:customStyle="1" w:styleId="Hesber">
    <w:name w:val="Hesber"/>
    <w:basedOn w:val="a"/>
    <w:rsid w:val="0055575C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55575C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55575C"/>
    <w:rPr>
      <w:vertAlign w:val="superscript"/>
    </w:rPr>
  </w:style>
  <w:style w:type="paragraph" w:customStyle="1" w:styleId="HesberHeading">
    <w:name w:val="Hesber Heading"/>
    <w:basedOn w:val="Hesber"/>
    <w:rsid w:val="0055575C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55575C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55575C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55575C"/>
    <w:rPr>
      <w:vertAlign w:val="superscript"/>
    </w:rPr>
  </w:style>
  <w:style w:type="paragraph" w:customStyle="1" w:styleId="TableBlockOutdent">
    <w:name w:val="Table BlockOutdent"/>
    <w:basedOn w:val="TableBlock"/>
    <w:rsid w:val="0055575C"/>
    <w:pPr>
      <w:ind w:left="624" w:hanging="624"/>
    </w:pPr>
  </w:style>
  <w:style w:type="paragraph" w:styleId="a7">
    <w:name w:val="header"/>
    <w:basedOn w:val="a"/>
    <w:rsid w:val="0055575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55575C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55575C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55575C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55575C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55575C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55575C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55575C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55575C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55575C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55575C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55575C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55575C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55575C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55575C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55575C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55575C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55575C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55575C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55575C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55575C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55575C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55575C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55575C"/>
    <w:rPr>
      <w:rFonts w:eastAsia="Times New Roman"/>
    </w:rPr>
  </w:style>
  <w:style w:type="paragraph" w:styleId="ae">
    <w:name w:val="List Paragraph"/>
    <w:basedOn w:val="a"/>
    <w:uiPriority w:val="34"/>
    <w:qFormat/>
    <w:rsid w:val="0055575C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55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5557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5557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55575C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55575C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1D222-2ED4-403B-A7E6-9D3CDA84D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3DB622-E84E-46C7-B9FE-0DC85335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254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24</cp:revision>
  <cp:lastPrinted>2013-07-04T08:25:00Z</cp:lastPrinted>
  <dcterms:created xsi:type="dcterms:W3CDTF">2015-04-20T09:58:00Z</dcterms:created>
  <dcterms:modified xsi:type="dcterms:W3CDTF">2020-08-06T09:37:00Z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2142256</vt:r8>
  </property>
</Properties>
</file>