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2142901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אליהו חסיד</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פ/1615/23</w:t>
      </w:r>
      <w:bookmarkEnd w:id="6"/>
    </w:p>
    <w:p w14:paraId="7F6961AC" w14:textId="77777777" w:rsidR="00E13C27" w:rsidRDefault="00E13C27" w:rsidP="00E13C27">
      <w:pPr>
        <w:spacing w:before="0" w:line="360" w:lineRule="auto"/>
        <w:ind w:left="2880" w:firstLine="720"/>
        <w:rPr>
          <w:rFonts w:cs="David"/>
          <w:sz w:val="26"/>
          <w:szCs w:val="26"/>
          <w:rtl/>
        </w:rPr>
      </w:pPr>
    </w:p>
    <w:p w14:paraId="1716E999" w14:textId="191E6C69" w:rsidR="00E4090B" w:rsidRPr="00821181" w:rsidRDefault="00E4090B" w:rsidP="008D3AB6">
      <w:pPr>
        <w:pStyle w:val="HeadHatzaotHok"/>
        <w:rPr>
          <w:rtl/>
        </w:rPr>
      </w:pPr>
      <w:bookmarkStart w:id="7" w:name="LGS_Subject"/>
      <w:r w:rsidRPr="00821181">
        <w:rPr>
          <w:rFonts w:hint="cs"/>
          <w:rtl/>
        </w:rPr>
        <w:t xml:space="preserve">הצעת חוק הגנה על עובד הנעדר מעבודתו עקב התפשטות נגיף הקורונה, </w:t>
      </w:r>
      <w:proofErr w:type="spellStart"/>
      <w:r w:rsidRPr="00821181">
        <w:rPr>
          <w:rFonts w:hint="cs"/>
          <w:rtl/>
        </w:rPr>
        <w:t>התש"ף</w:t>
      </w:r>
      <w:proofErr w:type="spellEnd"/>
      <w:r w:rsidRPr="00821181">
        <w:rPr>
          <w:rFonts w:hint="cs"/>
          <w:rtl/>
        </w:rPr>
        <w:t>–2020</w:t>
      </w:r>
      <w:bookmarkEnd w:id="7"/>
    </w:p>
    <w:p w14:paraId="447E30A6" w14:textId="77777777" w:rsidR="00821181" w:rsidRPr="00821181" w:rsidRDefault="00821181" w:rsidP="00821181">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821181" w:rsidRPr="00821181" w14:paraId="089733E5" w14:textId="77777777" w:rsidTr="006C401B">
        <w:trPr>
          <w:cantSplit/>
          <w:trHeight w:val="60"/>
        </w:trPr>
        <w:tc>
          <w:tcPr>
            <w:tcW w:w="1871" w:type="dxa"/>
          </w:tcPr>
          <w:p w14:paraId="381D293F" w14:textId="77777777" w:rsidR="00821181" w:rsidRPr="00821181" w:rsidRDefault="00821181" w:rsidP="006C401B">
            <w:pPr>
              <w:pStyle w:val="TableSideHeading"/>
              <w:keepLines w:val="0"/>
              <w:rPr>
                <w:rtl/>
              </w:rPr>
            </w:pPr>
            <w:r w:rsidRPr="00821181">
              <w:rPr>
                <w:rFonts w:hint="cs"/>
                <w:rtl/>
              </w:rPr>
              <w:t>הגדרות</w:t>
            </w:r>
          </w:p>
        </w:tc>
        <w:tc>
          <w:tcPr>
            <w:tcW w:w="624" w:type="dxa"/>
          </w:tcPr>
          <w:p w14:paraId="51C420AA" w14:textId="77777777" w:rsidR="00821181" w:rsidRPr="00821181" w:rsidRDefault="00821181" w:rsidP="006C401B">
            <w:pPr>
              <w:pStyle w:val="TableText"/>
              <w:keepLines w:val="0"/>
              <w:numPr>
                <w:ilvl w:val="0"/>
                <w:numId w:val="12"/>
              </w:numPr>
              <w:tabs>
                <w:tab w:val="clear" w:pos="624"/>
              </w:tabs>
              <w:autoSpaceDE/>
              <w:autoSpaceDN/>
              <w:adjustRightInd/>
              <w:ind w:right="0"/>
              <w:contextualSpacing/>
              <w:textAlignment w:val="auto"/>
            </w:pPr>
          </w:p>
        </w:tc>
        <w:tc>
          <w:tcPr>
            <w:tcW w:w="7146" w:type="dxa"/>
            <w:gridSpan w:val="2"/>
          </w:tcPr>
          <w:p w14:paraId="6C25FE3C" w14:textId="77777777" w:rsidR="00821181" w:rsidRPr="00821181" w:rsidRDefault="00821181" w:rsidP="006C401B">
            <w:pPr>
              <w:pStyle w:val="TableBlockOutdent"/>
              <w:rPr>
                <w:rtl/>
              </w:rPr>
            </w:pPr>
            <w:r w:rsidRPr="00821181">
              <w:rPr>
                <w:rFonts w:hint="cs"/>
                <w:rtl/>
              </w:rPr>
              <w:t xml:space="preserve">בחוק זה </w:t>
            </w:r>
            <w:r w:rsidRPr="00821181">
              <w:rPr>
                <w:rFonts w:hint="eastAsia"/>
                <w:rtl/>
              </w:rPr>
              <w:t>–</w:t>
            </w:r>
          </w:p>
        </w:tc>
      </w:tr>
      <w:tr w:rsidR="00821181" w:rsidRPr="00821181" w14:paraId="6F19F25C" w14:textId="77777777" w:rsidTr="006C401B">
        <w:trPr>
          <w:cantSplit/>
          <w:trHeight w:val="60"/>
        </w:trPr>
        <w:tc>
          <w:tcPr>
            <w:tcW w:w="1871" w:type="dxa"/>
          </w:tcPr>
          <w:p w14:paraId="2BAE817A" w14:textId="77777777" w:rsidR="00821181" w:rsidRPr="00821181" w:rsidRDefault="00821181" w:rsidP="006C401B">
            <w:pPr>
              <w:pStyle w:val="TableSideHeading"/>
              <w:keepLines w:val="0"/>
            </w:pPr>
          </w:p>
        </w:tc>
        <w:tc>
          <w:tcPr>
            <w:tcW w:w="624" w:type="dxa"/>
          </w:tcPr>
          <w:p w14:paraId="60AA0261" w14:textId="77777777" w:rsidR="00821181" w:rsidRPr="00821181" w:rsidRDefault="00821181" w:rsidP="006C401B">
            <w:pPr>
              <w:pStyle w:val="TableText"/>
              <w:keepLines w:val="0"/>
              <w:tabs>
                <w:tab w:val="clear" w:pos="624"/>
              </w:tabs>
              <w:autoSpaceDE/>
              <w:autoSpaceDN/>
              <w:adjustRightInd/>
              <w:ind w:right="0"/>
              <w:contextualSpacing/>
              <w:textAlignment w:val="auto"/>
            </w:pPr>
          </w:p>
        </w:tc>
        <w:tc>
          <w:tcPr>
            <w:tcW w:w="7146" w:type="dxa"/>
            <w:gridSpan w:val="2"/>
          </w:tcPr>
          <w:p w14:paraId="752A3401" w14:textId="77777777" w:rsidR="00821181" w:rsidRPr="00821181" w:rsidRDefault="00821181" w:rsidP="006C401B">
            <w:pPr>
              <w:pStyle w:val="TableBlockOutdent"/>
            </w:pPr>
            <w:r w:rsidRPr="00821181">
              <w:rPr>
                <w:rFonts w:hint="cs"/>
                <w:rtl/>
              </w:rPr>
              <w:t xml:space="preserve">"עובד בבידוד" </w:t>
            </w:r>
            <w:r w:rsidRPr="00821181">
              <w:rPr>
                <w:rFonts w:hint="eastAsia"/>
                <w:rtl/>
              </w:rPr>
              <w:t>–</w:t>
            </w:r>
            <w:r w:rsidRPr="00821181">
              <w:rPr>
                <w:rFonts w:hint="cs"/>
                <w:rtl/>
              </w:rPr>
              <w:t xml:space="preserve"> עובד שהוא או ילדו הנמצא עמו שטרם מלאו לו 16 שנים, חייבים בבידוד לפי </w:t>
            </w:r>
            <w:r w:rsidRPr="00821181">
              <w:rPr>
                <w:rtl/>
              </w:rPr>
              <w:t xml:space="preserve">צו בריאות העם (נגיף הקורונה החדש) (בידוד בית והוראות שונות) (הוראת שעה), </w:t>
            </w:r>
            <w:proofErr w:type="spellStart"/>
            <w:r w:rsidRPr="00821181">
              <w:rPr>
                <w:rFonts w:hint="cs"/>
                <w:rtl/>
              </w:rPr>
              <w:t>ה</w:t>
            </w:r>
            <w:r w:rsidRPr="00821181">
              <w:rPr>
                <w:rtl/>
              </w:rPr>
              <w:t>תש"ף</w:t>
            </w:r>
            <w:proofErr w:type="spellEnd"/>
            <w:r w:rsidRPr="00821181">
              <w:rPr>
                <w:rFonts w:hint="cs"/>
                <w:rtl/>
              </w:rPr>
              <w:t>–</w:t>
            </w:r>
            <w:r w:rsidRPr="00821181">
              <w:rPr>
                <w:rtl/>
              </w:rPr>
              <w:t>2020</w:t>
            </w:r>
            <w:r w:rsidRPr="00821181">
              <w:rPr>
                <w:rStyle w:val="a6"/>
                <w:rtl/>
              </w:rPr>
              <w:footnoteReference w:id="2"/>
            </w:r>
            <w:r w:rsidRPr="00821181">
              <w:rPr>
                <w:rFonts w:hint="cs"/>
                <w:rtl/>
              </w:rPr>
              <w:t>;</w:t>
            </w:r>
            <w:r w:rsidRPr="00821181">
              <w:rPr>
                <w:rtl/>
              </w:rPr>
              <w:t xml:space="preserve">  </w:t>
            </w:r>
            <w:r w:rsidRPr="00821181">
              <w:rPr>
                <w:rFonts w:hint="cs"/>
                <w:rtl/>
              </w:rPr>
              <w:t xml:space="preserve"> </w:t>
            </w:r>
          </w:p>
        </w:tc>
      </w:tr>
      <w:tr w:rsidR="00821181" w:rsidRPr="00821181" w14:paraId="12CDF3C9" w14:textId="77777777" w:rsidTr="006C401B">
        <w:trPr>
          <w:cantSplit/>
          <w:trHeight w:val="60"/>
        </w:trPr>
        <w:tc>
          <w:tcPr>
            <w:tcW w:w="1871" w:type="dxa"/>
          </w:tcPr>
          <w:p w14:paraId="5173B81F" w14:textId="77777777" w:rsidR="00821181" w:rsidRPr="00821181" w:rsidRDefault="00821181" w:rsidP="006C401B">
            <w:pPr>
              <w:pStyle w:val="TableSideHeading"/>
              <w:keepLines w:val="0"/>
              <w:rPr>
                <w:rtl/>
              </w:rPr>
            </w:pPr>
          </w:p>
        </w:tc>
        <w:tc>
          <w:tcPr>
            <w:tcW w:w="624" w:type="dxa"/>
          </w:tcPr>
          <w:p w14:paraId="5F6B4B1C" w14:textId="77777777" w:rsidR="00821181" w:rsidRPr="00821181" w:rsidRDefault="00821181" w:rsidP="006C401B">
            <w:pPr>
              <w:pStyle w:val="TableText"/>
              <w:keepLines w:val="0"/>
              <w:tabs>
                <w:tab w:val="clear" w:pos="624"/>
              </w:tabs>
            </w:pPr>
          </w:p>
        </w:tc>
        <w:tc>
          <w:tcPr>
            <w:tcW w:w="7146" w:type="dxa"/>
            <w:gridSpan w:val="2"/>
          </w:tcPr>
          <w:p w14:paraId="322D66CF" w14:textId="77777777" w:rsidR="00821181" w:rsidRPr="00821181" w:rsidRDefault="00821181" w:rsidP="006C401B">
            <w:pPr>
              <w:pStyle w:val="TableBlockOutdent"/>
              <w:rPr>
                <w:rtl/>
              </w:rPr>
            </w:pPr>
            <w:r w:rsidRPr="00821181">
              <w:rPr>
                <w:rFonts w:hint="cs"/>
                <w:rtl/>
              </w:rPr>
              <w:t>"עבודה במשכורת" – עובד שגמול עבודתו משתלם על בסיס של חודש או של תקופה ארוכה יותר;</w:t>
            </w:r>
          </w:p>
        </w:tc>
      </w:tr>
      <w:tr w:rsidR="00821181" w:rsidRPr="00821181" w14:paraId="3F9DA826" w14:textId="77777777" w:rsidTr="006C401B">
        <w:trPr>
          <w:cantSplit/>
          <w:trHeight w:val="60"/>
        </w:trPr>
        <w:tc>
          <w:tcPr>
            <w:tcW w:w="1871" w:type="dxa"/>
          </w:tcPr>
          <w:p w14:paraId="020E1EAB" w14:textId="77777777" w:rsidR="00821181" w:rsidRPr="00821181" w:rsidRDefault="00821181" w:rsidP="006C401B">
            <w:pPr>
              <w:pStyle w:val="TableSideHeading"/>
              <w:keepLines w:val="0"/>
              <w:rPr>
                <w:rtl/>
              </w:rPr>
            </w:pPr>
          </w:p>
        </w:tc>
        <w:tc>
          <w:tcPr>
            <w:tcW w:w="624" w:type="dxa"/>
          </w:tcPr>
          <w:p w14:paraId="72BB45E2" w14:textId="77777777" w:rsidR="00821181" w:rsidRPr="00821181" w:rsidRDefault="00821181" w:rsidP="006C401B">
            <w:pPr>
              <w:pStyle w:val="TableText"/>
              <w:keepLines w:val="0"/>
              <w:tabs>
                <w:tab w:val="clear" w:pos="624"/>
              </w:tabs>
            </w:pPr>
          </w:p>
        </w:tc>
        <w:tc>
          <w:tcPr>
            <w:tcW w:w="7146" w:type="dxa"/>
            <w:gridSpan w:val="2"/>
          </w:tcPr>
          <w:p w14:paraId="1574DF0D" w14:textId="77777777" w:rsidR="00821181" w:rsidRPr="00821181" w:rsidRDefault="00821181" w:rsidP="006C401B">
            <w:pPr>
              <w:pStyle w:val="TableBlockOutdent"/>
              <w:rPr>
                <w:rtl/>
              </w:rPr>
            </w:pPr>
            <w:r w:rsidRPr="00821181">
              <w:rPr>
                <w:rFonts w:hint="cs"/>
                <w:rtl/>
              </w:rPr>
              <w:t xml:space="preserve">"עובד בשכר" </w:t>
            </w:r>
            <w:r w:rsidRPr="00821181">
              <w:rPr>
                <w:rFonts w:hint="eastAsia"/>
                <w:rtl/>
              </w:rPr>
              <w:t>–</w:t>
            </w:r>
            <w:r w:rsidRPr="00821181">
              <w:rPr>
                <w:rFonts w:hint="cs"/>
                <w:rtl/>
              </w:rPr>
              <w:t xml:space="preserve"> עובד שאינו עובד במשכורת, לרבות עובד ששכרו משתלם לפי כמות התוצרת; </w:t>
            </w:r>
          </w:p>
        </w:tc>
      </w:tr>
      <w:tr w:rsidR="00821181" w:rsidRPr="00821181" w14:paraId="2A332F2C" w14:textId="77777777" w:rsidTr="006C401B">
        <w:trPr>
          <w:cantSplit/>
          <w:trHeight w:val="60"/>
        </w:trPr>
        <w:tc>
          <w:tcPr>
            <w:tcW w:w="1871" w:type="dxa"/>
          </w:tcPr>
          <w:p w14:paraId="1E489D03" w14:textId="77777777" w:rsidR="00821181" w:rsidRPr="00821181" w:rsidRDefault="00821181" w:rsidP="006C401B">
            <w:pPr>
              <w:pStyle w:val="TableSideHeading"/>
              <w:keepLines w:val="0"/>
              <w:rPr>
                <w:rtl/>
              </w:rPr>
            </w:pPr>
          </w:p>
        </w:tc>
        <w:tc>
          <w:tcPr>
            <w:tcW w:w="624" w:type="dxa"/>
          </w:tcPr>
          <w:p w14:paraId="62BC4272" w14:textId="77777777" w:rsidR="00821181" w:rsidRPr="00821181" w:rsidRDefault="00821181" w:rsidP="006C401B">
            <w:pPr>
              <w:pStyle w:val="TableText"/>
              <w:keepLines w:val="0"/>
              <w:tabs>
                <w:tab w:val="clear" w:pos="624"/>
              </w:tabs>
            </w:pPr>
          </w:p>
        </w:tc>
        <w:tc>
          <w:tcPr>
            <w:tcW w:w="7146" w:type="dxa"/>
            <w:gridSpan w:val="2"/>
          </w:tcPr>
          <w:p w14:paraId="6B4DFEC1" w14:textId="77777777" w:rsidR="00821181" w:rsidRPr="00821181" w:rsidRDefault="00821181" w:rsidP="006C401B">
            <w:pPr>
              <w:pStyle w:val="TableBlockOutdent"/>
              <w:rPr>
                <w:rtl/>
              </w:rPr>
            </w:pPr>
            <w:r w:rsidRPr="00821181">
              <w:rPr>
                <w:rFonts w:hint="cs"/>
                <w:rtl/>
              </w:rPr>
              <w:t xml:space="preserve">"עבודה מתאימה" </w:t>
            </w:r>
            <w:r w:rsidRPr="00821181">
              <w:rPr>
                <w:rFonts w:hint="eastAsia"/>
                <w:rtl/>
              </w:rPr>
              <w:t>–</w:t>
            </w:r>
            <w:r w:rsidRPr="00821181">
              <w:rPr>
                <w:rFonts w:hint="cs"/>
                <w:rtl/>
              </w:rPr>
              <w:t xml:space="preserve"> עבודה מסוג העבודה העיקרית שבה עבד העובד בתוך שלוש השנים שקדמו למועד שבו נעדר מעבודתו, או שהיא עבודה אחרת אצל המעסיק התואמת את הכשרתו המקצועית, רמת השכלתו וכושרו הגופני, אף אם היא מבוצעת מרחוק או שלא במקום העבודה הרגיל;</w:t>
            </w:r>
          </w:p>
        </w:tc>
      </w:tr>
      <w:tr w:rsidR="00821181" w:rsidRPr="00821181" w14:paraId="24E7F489" w14:textId="77777777" w:rsidTr="006C401B">
        <w:trPr>
          <w:cantSplit/>
          <w:trHeight w:val="60"/>
        </w:trPr>
        <w:tc>
          <w:tcPr>
            <w:tcW w:w="1871" w:type="dxa"/>
          </w:tcPr>
          <w:p w14:paraId="08A5649C" w14:textId="77777777" w:rsidR="00821181" w:rsidRPr="00821181" w:rsidRDefault="00821181" w:rsidP="006C401B">
            <w:pPr>
              <w:pStyle w:val="TableSideHeading"/>
              <w:keepLines w:val="0"/>
              <w:rPr>
                <w:rtl/>
              </w:rPr>
            </w:pPr>
          </w:p>
        </w:tc>
        <w:tc>
          <w:tcPr>
            <w:tcW w:w="624" w:type="dxa"/>
          </w:tcPr>
          <w:p w14:paraId="4C115BEF" w14:textId="77777777" w:rsidR="00821181" w:rsidRPr="00821181" w:rsidRDefault="00821181" w:rsidP="006C401B">
            <w:pPr>
              <w:pStyle w:val="TableText"/>
            </w:pPr>
          </w:p>
        </w:tc>
        <w:tc>
          <w:tcPr>
            <w:tcW w:w="7146" w:type="dxa"/>
            <w:gridSpan w:val="2"/>
          </w:tcPr>
          <w:p w14:paraId="5100C08E" w14:textId="77777777" w:rsidR="00821181" w:rsidRPr="00821181" w:rsidRDefault="00821181" w:rsidP="006C401B">
            <w:pPr>
              <w:pStyle w:val="TableBlock"/>
              <w:keepLines w:val="0"/>
              <w:rPr>
                <w:rtl/>
              </w:rPr>
            </w:pPr>
            <w:r w:rsidRPr="00821181">
              <w:rPr>
                <w:rFonts w:hint="cs"/>
                <w:rtl/>
              </w:rPr>
              <w:t xml:space="preserve">"השר" </w:t>
            </w:r>
            <w:r w:rsidRPr="00821181">
              <w:rPr>
                <w:rFonts w:hint="eastAsia"/>
                <w:rtl/>
              </w:rPr>
              <w:t>–</w:t>
            </w:r>
            <w:r w:rsidRPr="00821181">
              <w:rPr>
                <w:rFonts w:hint="cs"/>
                <w:rtl/>
              </w:rPr>
              <w:t xml:space="preserve"> שר העבודה הרווחה והשירותים החברתיים.</w:t>
            </w:r>
          </w:p>
        </w:tc>
      </w:tr>
      <w:tr w:rsidR="00821181" w:rsidRPr="00821181" w14:paraId="43ACBAC8" w14:textId="77777777" w:rsidTr="006C401B">
        <w:trPr>
          <w:cantSplit/>
          <w:trHeight w:val="60"/>
        </w:trPr>
        <w:tc>
          <w:tcPr>
            <w:tcW w:w="1871" w:type="dxa"/>
          </w:tcPr>
          <w:p w14:paraId="719CE34A" w14:textId="77777777" w:rsidR="00821181" w:rsidRPr="00821181" w:rsidRDefault="00821181" w:rsidP="006C401B">
            <w:pPr>
              <w:pStyle w:val="TableSideHeading"/>
              <w:keepLines w:val="0"/>
              <w:rPr>
                <w:rtl/>
              </w:rPr>
            </w:pPr>
            <w:r w:rsidRPr="00821181">
              <w:rPr>
                <w:rFonts w:hint="cs"/>
                <w:rtl/>
              </w:rPr>
              <w:t xml:space="preserve">זכאות לתשלום תגמול מיוחד לתקופת הקורונה </w:t>
            </w:r>
          </w:p>
        </w:tc>
        <w:tc>
          <w:tcPr>
            <w:tcW w:w="624" w:type="dxa"/>
          </w:tcPr>
          <w:p w14:paraId="2AC87E94" w14:textId="77777777" w:rsidR="00821181" w:rsidRPr="00821181" w:rsidRDefault="00821181" w:rsidP="006C401B">
            <w:pPr>
              <w:pStyle w:val="TableText"/>
              <w:keepLines w:val="0"/>
              <w:tabs>
                <w:tab w:val="clear" w:pos="624"/>
              </w:tabs>
            </w:pPr>
            <w:r w:rsidRPr="00821181">
              <w:rPr>
                <w:rFonts w:hint="cs"/>
                <w:rtl/>
              </w:rPr>
              <w:t>2.</w:t>
            </w:r>
          </w:p>
        </w:tc>
        <w:tc>
          <w:tcPr>
            <w:tcW w:w="7146" w:type="dxa"/>
            <w:gridSpan w:val="2"/>
          </w:tcPr>
          <w:p w14:paraId="68ACAE6F" w14:textId="77777777" w:rsidR="00821181" w:rsidRPr="00821181" w:rsidRDefault="00821181" w:rsidP="006C401B">
            <w:pPr>
              <w:pStyle w:val="TableBlock"/>
              <w:keepLines w:val="0"/>
            </w:pPr>
            <w:r w:rsidRPr="00821181">
              <w:rPr>
                <w:rFonts w:hint="cs"/>
                <w:rtl/>
              </w:rPr>
              <w:t>(א)</w:t>
            </w:r>
            <w:r w:rsidRPr="00821181">
              <w:rPr>
                <w:rtl/>
              </w:rPr>
              <w:tab/>
            </w:r>
            <w:r w:rsidRPr="00821181">
              <w:rPr>
                <w:rFonts w:hint="cs"/>
                <w:rtl/>
              </w:rPr>
              <w:t xml:space="preserve">אלה זכאים לתשלום תגמול מיוחד לתקופת הקורונה, אם הם נעדרו ממקום עבודתם </w:t>
            </w:r>
            <w:r w:rsidRPr="00821181">
              <w:rPr>
                <w:rFonts w:hint="eastAsia"/>
                <w:rtl/>
              </w:rPr>
              <w:t>–</w:t>
            </w:r>
            <w:r w:rsidRPr="00821181">
              <w:rPr>
                <w:rFonts w:hint="cs"/>
                <w:rtl/>
              </w:rPr>
              <w:t xml:space="preserve"> </w:t>
            </w:r>
          </w:p>
        </w:tc>
      </w:tr>
      <w:tr w:rsidR="00821181" w:rsidRPr="00821181" w14:paraId="1F8FCC21" w14:textId="77777777" w:rsidTr="006C401B">
        <w:trPr>
          <w:cantSplit/>
          <w:trHeight w:val="60"/>
        </w:trPr>
        <w:tc>
          <w:tcPr>
            <w:tcW w:w="1871" w:type="dxa"/>
          </w:tcPr>
          <w:p w14:paraId="5486580E" w14:textId="77777777" w:rsidR="00821181" w:rsidRPr="00821181" w:rsidRDefault="00821181" w:rsidP="006C401B">
            <w:pPr>
              <w:pStyle w:val="TableSideHeading"/>
            </w:pPr>
          </w:p>
        </w:tc>
        <w:tc>
          <w:tcPr>
            <w:tcW w:w="624" w:type="dxa"/>
          </w:tcPr>
          <w:p w14:paraId="40ED0347" w14:textId="77777777" w:rsidR="00821181" w:rsidRPr="00821181" w:rsidRDefault="00821181" w:rsidP="006C401B">
            <w:pPr>
              <w:pStyle w:val="TableText"/>
            </w:pPr>
          </w:p>
        </w:tc>
        <w:tc>
          <w:tcPr>
            <w:tcW w:w="624" w:type="dxa"/>
          </w:tcPr>
          <w:p w14:paraId="5FA38DBD" w14:textId="77777777" w:rsidR="00821181" w:rsidRPr="00821181" w:rsidRDefault="00821181" w:rsidP="006C401B">
            <w:pPr>
              <w:pStyle w:val="TableText"/>
            </w:pPr>
          </w:p>
        </w:tc>
        <w:tc>
          <w:tcPr>
            <w:tcW w:w="6522" w:type="dxa"/>
          </w:tcPr>
          <w:p w14:paraId="2081686C" w14:textId="77777777" w:rsidR="00821181" w:rsidRPr="00821181" w:rsidRDefault="00821181" w:rsidP="006C401B">
            <w:pPr>
              <w:pStyle w:val="TableBlock"/>
            </w:pPr>
            <w:r w:rsidRPr="00821181">
              <w:rPr>
                <w:rFonts w:hint="cs"/>
                <w:rtl/>
              </w:rPr>
              <w:t>(1)</w:t>
            </w:r>
            <w:r w:rsidRPr="00821181">
              <w:rPr>
                <w:rtl/>
              </w:rPr>
              <w:tab/>
            </w:r>
            <w:r w:rsidRPr="00821181">
              <w:rPr>
                <w:rFonts w:hint="cs"/>
                <w:rtl/>
              </w:rPr>
              <w:t>עובד בבידוד שאינו יכול לבצע את עבודתו או עבודה מתאימה אחרת;</w:t>
            </w:r>
          </w:p>
        </w:tc>
      </w:tr>
      <w:tr w:rsidR="00821181" w:rsidRPr="00821181" w14:paraId="769737C4" w14:textId="77777777" w:rsidTr="006C401B">
        <w:trPr>
          <w:cantSplit/>
          <w:trHeight w:val="60"/>
        </w:trPr>
        <w:tc>
          <w:tcPr>
            <w:tcW w:w="1871" w:type="dxa"/>
          </w:tcPr>
          <w:p w14:paraId="6A96E01B" w14:textId="77777777" w:rsidR="00821181" w:rsidRPr="00821181" w:rsidRDefault="00821181" w:rsidP="006C401B">
            <w:pPr>
              <w:pStyle w:val="TableSideHeading"/>
            </w:pPr>
          </w:p>
        </w:tc>
        <w:tc>
          <w:tcPr>
            <w:tcW w:w="624" w:type="dxa"/>
          </w:tcPr>
          <w:p w14:paraId="39206F02" w14:textId="77777777" w:rsidR="00821181" w:rsidRPr="00821181" w:rsidRDefault="00821181" w:rsidP="006C401B">
            <w:pPr>
              <w:pStyle w:val="TableText"/>
            </w:pPr>
          </w:p>
        </w:tc>
        <w:tc>
          <w:tcPr>
            <w:tcW w:w="624" w:type="dxa"/>
          </w:tcPr>
          <w:p w14:paraId="2C4F7B97" w14:textId="77777777" w:rsidR="00821181" w:rsidRPr="00821181" w:rsidRDefault="00821181" w:rsidP="006C401B">
            <w:pPr>
              <w:pStyle w:val="TableText"/>
            </w:pPr>
          </w:p>
        </w:tc>
        <w:tc>
          <w:tcPr>
            <w:tcW w:w="6522" w:type="dxa"/>
          </w:tcPr>
          <w:p w14:paraId="00451DDC" w14:textId="77777777" w:rsidR="00821181" w:rsidRPr="00821181" w:rsidRDefault="00821181" w:rsidP="006C401B">
            <w:pPr>
              <w:pStyle w:val="TableBlock"/>
              <w:rPr>
                <w:rtl/>
              </w:rPr>
            </w:pPr>
            <w:r w:rsidRPr="00821181">
              <w:rPr>
                <w:rFonts w:hint="cs"/>
                <w:rtl/>
              </w:rPr>
              <w:t>(2)</w:t>
            </w:r>
            <w:r w:rsidRPr="00821181">
              <w:rPr>
                <w:rtl/>
              </w:rPr>
              <w:tab/>
            </w:r>
            <w:r w:rsidRPr="00821181">
              <w:rPr>
                <w:rFonts w:hint="cs"/>
                <w:rtl/>
              </w:rPr>
              <w:t xml:space="preserve">עובד שאינו יכול לבצע את עבודתו או עבודה מתאימה אחרת עקב הגבלות שהוטלו על היכולת לצאת מביתו או להגיע למקום העבודה, בשל התפשטות נגיף הקורונה; </w:t>
            </w:r>
          </w:p>
        </w:tc>
      </w:tr>
      <w:tr w:rsidR="00821181" w:rsidRPr="00821181" w14:paraId="6BA8995B" w14:textId="77777777" w:rsidTr="006C401B">
        <w:trPr>
          <w:cantSplit/>
          <w:trHeight w:val="60"/>
        </w:trPr>
        <w:tc>
          <w:tcPr>
            <w:tcW w:w="1871" w:type="dxa"/>
          </w:tcPr>
          <w:p w14:paraId="224358E9" w14:textId="77777777" w:rsidR="00821181" w:rsidRPr="00821181" w:rsidRDefault="00821181" w:rsidP="006C401B">
            <w:pPr>
              <w:pStyle w:val="TableSideHeading"/>
            </w:pPr>
          </w:p>
        </w:tc>
        <w:tc>
          <w:tcPr>
            <w:tcW w:w="624" w:type="dxa"/>
          </w:tcPr>
          <w:p w14:paraId="0CB6AA81" w14:textId="77777777" w:rsidR="00821181" w:rsidRPr="00821181" w:rsidRDefault="00821181" w:rsidP="006C401B">
            <w:pPr>
              <w:pStyle w:val="TableText"/>
            </w:pPr>
          </w:p>
        </w:tc>
        <w:tc>
          <w:tcPr>
            <w:tcW w:w="624" w:type="dxa"/>
          </w:tcPr>
          <w:p w14:paraId="56B7D1C2" w14:textId="77777777" w:rsidR="00821181" w:rsidRPr="00821181" w:rsidRDefault="00821181" w:rsidP="006C401B">
            <w:pPr>
              <w:pStyle w:val="TableText"/>
            </w:pPr>
          </w:p>
        </w:tc>
        <w:tc>
          <w:tcPr>
            <w:tcW w:w="6522" w:type="dxa"/>
          </w:tcPr>
          <w:p w14:paraId="64F6D079" w14:textId="77777777" w:rsidR="00821181" w:rsidRPr="00821181" w:rsidRDefault="00821181" w:rsidP="006C401B">
            <w:pPr>
              <w:pStyle w:val="TableBlock"/>
              <w:rPr>
                <w:rtl/>
              </w:rPr>
            </w:pPr>
            <w:r w:rsidRPr="00821181">
              <w:rPr>
                <w:rFonts w:hint="cs"/>
                <w:rtl/>
              </w:rPr>
              <w:t>(3)</w:t>
            </w:r>
            <w:r w:rsidRPr="00821181">
              <w:rPr>
                <w:rtl/>
              </w:rPr>
              <w:tab/>
            </w:r>
            <w:r w:rsidRPr="00821181">
              <w:rPr>
                <w:rFonts w:hint="cs"/>
                <w:rtl/>
              </w:rPr>
              <w:t xml:space="preserve">עובד שאינו יכול לבצע את עבודתו או עבודה מתאימה אחרת עקב סגירת מוסד החינוך של ילדו הנמצא עמו שטרם מלאו לו 14 שנים או שהוא תלמיד עם צרכים מיוחדים כהגדרתו בחוק חינוך מיוחד, </w:t>
            </w:r>
            <w:proofErr w:type="spellStart"/>
            <w:r w:rsidRPr="00821181">
              <w:rPr>
                <w:rFonts w:hint="cs"/>
                <w:rtl/>
              </w:rPr>
              <w:t>התשמ"ח</w:t>
            </w:r>
            <w:proofErr w:type="spellEnd"/>
            <w:r w:rsidRPr="00821181">
              <w:rPr>
                <w:rFonts w:hint="eastAsia"/>
                <w:rtl/>
              </w:rPr>
              <w:t>–</w:t>
            </w:r>
            <w:r w:rsidRPr="00821181">
              <w:rPr>
                <w:rFonts w:hint="cs"/>
                <w:rtl/>
              </w:rPr>
              <w:t>1988</w:t>
            </w:r>
            <w:r w:rsidRPr="00821181">
              <w:rPr>
                <w:rStyle w:val="a6"/>
                <w:rtl/>
              </w:rPr>
              <w:footnoteReference w:id="3"/>
            </w:r>
            <w:r w:rsidRPr="00821181">
              <w:rPr>
                <w:rFonts w:hint="cs"/>
                <w:rtl/>
              </w:rPr>
              <w:t>, בשל  התפשטות נגיף הקורונה.</w:t>
            </w:r>
          </w:p>
        </w:tc>
      </w:tr>
      <w:tr w:rsidR="00821181" w:rsidRPr="00821181" w14:paraId="72AC33EC" w14:textId="77777777" w:rsidTr="006C401B">
        <w:trPr>
          <w:cantSplit/>
          <w:trHeight w:val="60"/>
        </w:trPr>
        <w:tc>
          <w:tcPr>
            <w:tcW w:w="1871" w:type="dxa"/>
          </w:tcPr>
          <w:p w14:paraId="3E102B60" w14:textId="77777777" w:rsidR="00821181" w:rsidRPr="00821181" w:rsidRDefault="00821181" w:rsidP="006C401B">
            <w:pPr>
              <w:pStyle w:val="TableSideHeading"/>
              <w:keepLines w:val="0"/>
              <w:rPr>
                <w:rtl/>
              </w:rPr>
            </w:pPr>
          </w:p>
        </w:tc>
        <w:tc>
          <w:tcPr>
            <w:tcW w:w="624" w:type="dxa"/>
          </w:tcPr>
          <w:p w14:paraId="0D5CCA56" w14:textId="77777777" w:rsidR="00821181" w:rsidRPr="00821181" w:rsidRDefault="00821181" w:rsidP="006C401B">
            <w:pPr>
              <w:pStyle w:val="TableText"/>
              <w:keepLines w:val="0"/>
              <w:tabs>
                <w:tab w:val="clear" w:pos="624"/>
              </w:tabs>
              <w:rPr>
                <w:rtl/>
              </w:rPr>
            </w:pPr>
          </w:p>
        </w:tc>
        <w:tc>
          <w:tcPr>
            <w:tcW w:w="7146" w:type="dxa"/>
            <w:gridSpan w:val="2"/>
          </w:tcPr>
          <w:p w14:paraId="3BCAEB28" w14:textId="77777777" w:rsidR="00821181" w:rsidRPr="00821181" w:rsidRDefault="00821181" w:rsidP="006C401B">
            <w:pPr>
              <w:pStyle w:val="TableBlock"/>
              <w:keepLines w:val="0"/>
              <w:rPr>
                <w:rtl/>
              </w:rPr>
            </w:pPr>
            <w:r w:rsidRPr="00821181">
              <w:rPr>
                <w:rFonts w:hint="cs"/>
                <w:rtl/>
              </w:rPr>
              <w:t>(ב)</w:t>
            </w:r>
            <w:r w:rsidRPr="00821181">
              <w:rPr>
                <w:rtl/>
              </w:rPr>
              <w:tab/>
            </w:r>
            <w:r w:rsidRPr="00821181">
              <w:rPr>
                <w:rFonts w:hint="cs"/>
                <w:rtl/>
              </w:rPr>
              <w:t xml:space="preserve">התגמול המיוחד לתקופת הקורונה ישולם בעד כל יום שבו נעדר העובד מעבודתו כאמור בסעיף קטן (א) ויהיה בסכום השווה לשכר שהיה משולם לעובד במשכורת בעד אותו יום  אילולא נעדר מעבודתו, ואם העובד הוא עובד בשכר </w:t>
            </w:r>
            <w:r w:rsidRPr="00821181">
              <w:rPr>
                <w:rFonts w:hint="eastAsia"/>
                <w:rtl/>
              </w:rPr>
              <w:t>–</w:t>
            </w:r>
            <w:r w:rsidRPr="00821181">
              <w:rPr>
                <w:rFonts w:hint="cs"/>
                <w:rtl/>
              </w:rPr>
              <w:t xml:space="preserve"> בסכום השווה לשכרו במהלך שני החודשים שקדמו לתחילת היעדרותו חלקי מספר הימים שעבד בפועל באותם שני חודשים.</w:t>
            </w:r>
          </w:p>
        </w:tc>
      </w:tr>
      <w:tr w:rsidR="00821181" w:rsidRPr="00821181" w14:paraId="5BAE0948" w14:textId="77777777" w:rsidTr="006C401B">
        <w:trPr>
          <w:cantSplit/>
          <w:trHeight w:val="60"/>
        </w:trPr>
        <w:tc>
          <w:tcPr>
            <w:tcW w:w="1871" w:type="dxa"/>
          </w:tcPr>
          <w:p w14:paraId="5350CF22" w14:textId="77777777" w:rsidR="00821181" w:rsidRPr="00821181" w:rsidRDefault="00821181" w:rsidP="006C401B">
            <w:pPr>
              <w:pStyle w:val="TableSideHeading"/>
              <w:keepLines w:val="0"/>
              <w:rPr>
                <w:rtl/>
              </w:rPr>
            </w:pPr>
            <w:r w:rsidRPr="00821181">
              <w:rPr>
                <w:rFonts w:hint="cs"/>
                <w:rtl/>
              </w:rPr>
              <w:t>תשלום התגמול</w:t>
            </w:r>
          </w:p>
        </w:tc>
        <w:tc>
          <w:tcPr>
            <w:tcW w:w="624" w:type="dxa"/>
          </w:tcPr>
          <w:p w14:paraId="5E27227E" w14:textId="77777777" w:rsidR="00821181" w:rsidRPr="00821181" w:rsidRDefault="00821181" w:rsidP="006C401B">
            <w:pPr>
              <w:pStyle w:val="TableText"/>
              <w:keepLines w:val="0"/>
              <w:tabs>
                <w:tab w:val="clear" w:pos="624"/>
              </w:tabs>
              <w:rPr>
                <w:rtl/>
              </w:rPr>
            </w:pPr>
            <w:r w:rsidRPr="00821181">
              <w:rPr>
                <w:rFonts w:hint="cs"/>
                <w:rtl/>
              </w:rPr>
              <w:t>3.</w:t>
            </w:r>
          </w:p>
        </w:tc>
        <w:tc>
          <w:tcPr>
            <w:tcW w:w="7146" w:type="dxa"/>
            <w:gridSpan w:val="2"/>
          </w:tcPr>
          <w:p w14:paraId="1E631F21" w14:textId="77777777" w:rsidR="00821181" w:rsidRPr="00821181" w:rsidRDefault="00821181" w:rsidP="006C401B">
            <w:pPr>
              <w:pStyle w:val="TableBlock"/>
              <w:keepLines w:val="0"/>
              <w:rPr>
                <w:rtl/>
              </w:rPr>
            </w:pPr>
            <w:r w:rsidRPr="00821181">
              <w:rPr>
                <w:rFonts w:hint="cs"/>
                <w:rtl/>
              </w:rPr>
              <w:t>(א)</w:t>
            </w:r>
            <w:r w:rsidRPr="00821181">
              <w:rPr>
                <w:rtl/>
              </w:rPr>
              <w:tab/>
            </w:r>
            <w:r w:rsidRPr="00821181">
              <w:rPr>
                <w:rFonts w:hint="cs"/>
                <w:rtl/>
              </w:rPr>
              <w:t xml:space="preserve">תגמול לפי חוק זה יינתן מאוצר המדינה באמצעות המוסד לביטוח לאומי (להלן </w:t>
            </w:r>
            <w:r w:rsidRPr="00821181">
              <w:rPr>
                <w:rtl/>
              </w:rPr>
              <w:t>–</w:t>
            </w:r>
            <w:r w:rsidRPr="00821181">
              <w:rPr>
                <w:rFonts w:hint="cs"/>
                <w:rtl/>
              </w:rPr>
              <w:t xml:space="preserve"> המוסד).</w:t>
            </w:r>
          </w:p>
        </w:tc>
      </w:tr>
      <w:tr w:rsidR="00821181" w:rsidRPr="00821181" w14:paraId="3B677479" w14:textId="77777777" w:rsidTr="006C401B">
        <w:trPr>
          <w:cantSplit/>
          <w:trHeight w:val="60"/>
        </w:trPr>
        <w:tc>
          <w:tcPr>
            <w:tcW w:w="1871" w:type="dxa"/>
          </w:tcPr>
          <w:p w14:paraId="3EA6F642" w14:textId="77777777" w:rsidR="00821181" w:rsidRPr="00821181" w:rsidRDefault="00821181" w:rsidP="006C401B">
            <w:pPr>
              <w:pStyle w:val="TableSideHeading"/>
              <w:keepLines w:val="0"/>
              <w:rPr>
                <w:rtl/>
              </w:rPr>
            </w:pPr>
          </w:p>
        </w:tc>
        <w:tc>
          <w:tcPr>
            <w:tcW w:w="624" w:type="dxa"/>
          </w:tcPr>
          <w:p w14:paraId="2642196B" w14:textId="77777777" w:rsidR="00821181" w:rsidRPr="00821181" w:rsidRDefault="00821181" w:rsidP="006C401B">
            <w:pPr>
              <w:pStyle w:val="TableText"/>
              <w:keepLines w:val="0"/>
              <w:tabs>
                <w:tab w:val="clear" w:pos="624"/>
              </w:tabs>
              <w:rPr>
                <w:rtl/>
              </w:rPr>
            </w:pPr>
          </w:p>
        </w:tc>
        <w:tc>
          <w:tcPr>
            <w:tcW w:w="7146" w:type="dxa"/>
            <w:gridSpan w:val="2"/>
          </w:tcPr>
          <w:p w14:paraId="50D5F6BC" w14:textId="77777777" w:rsidR="00821181" w:rsidRPr="00821181" w:rsidRDefault="00821181" w:rsidP="006C401B">
            <w:pPr>
              <w:pStyle w:val="TableBlock"/>
              <w:rPr>
                <w:rtl/>
              </w:rPr>
            </w:pPr>
            <w:r w:rsidRPr="00821181">
              <w:rPr>
                <w:rtl/>
              </w:rPr>
              <w:t>(</w:t>
            </w:r>
            <w:r w:rsidRPr="00821181">
              <w:rPr>
                <w:rFonts w:hint="cs"/>
                <w:rtl/>
              </w:rPr>
              <w:t>ב)</w:t>
            </w:r>
            <w:r w:rsidRPr="00821181">
              <w:rPr>
                <w:rtl/>
              </w:rPr>
              <w:tab/>
            </w:r>
            <w:r w:rsidRPr="00821181">
              <w:rPr>
                <w:rFonts w:hint="cs"/>
                <w:rtl/>
              </w:rPr>
              <w:t xml:space="preserve">אוצר המדינה ישפה את המוסד, על פי דרישתו, על כל הוצאה שהוציא למתן התגמול ועל החלק היחסי מההוצאות המנהליות של המוסד הנובע מביצוע </w:t>
            </w:r>
            <w:r w:rsidRPr="00821181">
              <w:rPr>
                <w:rtl/>
              </w:rPr>
              <w:t>ח</w:t>
            </w:r>
            <w:r w:rsidRPr="00821181">
              <w:rPr>
                <w:rFonts w:hint="cs"/>
                <w:rtl/>
              </w:rPr>
              <w:t>וק זה.</w:t>
            </w:r>
          </w:p>
        </w:tc>
      </w:tr>
      <w:tr w:rsidR="00821181" w:rsidRPr="00821181" w14:paraId="3BDE8AB7" w14:textId="77777777" w:rsidTr="006C401B">
        <w:trPr>
          <w:cantSplit/>
          <w:trHeight w:val="60"/>
        </w:trPr>
        <w:tc>
          <w:tcPr>
            <w:tcW w:w="1871" w:type="dxa"/>
          </w:tcPr>
          <w:p w14:paraId="0AEC0832" w14:textId="77777777" w:rsidR="00821181" w:rsidRPr="00821181" w:rsidRDefault="00821181" w:rsidP="006C401B">
            <w:pPr>
              <w:pStyle w:val="TableSideHeading"/>
              <w:keepLines w:val="0"/>
              <w:rPr>
                <w:rtl/>
              </w:rPr>
            </w:pPr>
          </w:p>
        </w:tc>
        <w:tc>
          <w:tcPr>
            <w:tcW w:w="624" w:type="dxa"/>
          </w:tcPr>
          <w:p w14:paraId="1C032F85" w14:textId="77777777" w:rsidR="00821181" w:rsidRPr="00821181" w:rsidRDefault="00821181" w:rsidP="006C401B">
            <w:pPr>
              <w:pStyle w:val="TableText"/>
              <w:keepLines w:val="0"/>
              <w:tabs>
                <w:tab w:val="clear" w:pos="624"/>
              </w:tabs>
              <w:rPr>
                <w:rtl/>
              </w:rPr>
            </w:pPr>
          </w:p>
        </w:tc>
        <w:tc>
          <w:tcPr>
            <w:tcW w:w="7146" w:type="dxa"/>
            <w:gridSpan w:val="2"/>
          </w:tcPr>
          <w:p w14:paraId="4142D47D" w14:textId="77777777" w:rsidR="00821181" w:rsidRPr="00821181" w:rsidRDefault="00821181" w:rsidP="006C401B">
            <w:pPr>
              <w:pStyle w:val="TableBlock"/>
              <w:rPr>
                <w:rtl/>
              </w:rPr>
            </w:pPr>
            <w:r w:rsidRPr="00821181">
              <w:rPr>
                <w:rFonts w:hint="cs"/>
                <w:rtl/>
              </w:rPr>
              <w:t>(ג)</w:t>
            </w:r>
            <w:r w:rsidRPr="00821181">
              <w:rPr>
                <w:rtl/>
              </w:rPr>
              <w:tab/>
            </w:r>
            <w:r w:rsidRPr="00821181">
              <w:rPr>
                <w:rFonts w:hint="cs"/>
                <w:rtl/>
              </w:rPr>
              <w:t>תגמול שהמוסד מצא כי הוא מגיע לפי חוק זה ישולם במהלך החודש שלאחר מועד הגשת בקשה לקבלת התגמול בנוסח שיפרסם המוסד באתר האינטרנט שלו.</w:t>
            </w:r>
          </w:p>
        </w:tc>
      </w:tr>
      <w:tr w:rsidR="00821181" w:rsidRPr="00821181" w14:paraId="52D4F65D" w14:textId="77777777" w:rsidTr="006C401B">
        <w:trPr>
          <w:cantSplit/>
          <w:trHeight w:val="60"/>
        </w:trPr>
        <w:tc>
          <w:tcPr>
            <w:tcW w:w="1871" w:type="dxa"/>
          </w:tcPr>
          <w:p w14:paraId="637C5702" w14:textId="77777777" w:rsidR="00821181" w:rsidRPr="00821181" w:rsidRDefault="00821181" w:rsidP="006C401B">
            <w:pPr>
              <w:pStyle w:val="TableSideHeading"/>
              <w:keepLines w:val="0"/>
              <w:rPr>
                <w:rtl/>
              </w:rPr>
            </w:pPr>
            <w:r w:rsidRPr="00821181">
              <w:rPr>
                <w:rFonts w:hint="cs"/>
                <w:rtl/>
              </w:rPr>
              <w:t>סייג לזכאות</w:t>
            </w:r>
          </w:p>
        </w:tc>
        <w:tc>
          <w:tcPr>
            <w:tcW w:w="624" w:type="dxa"/>
          </w:tcPr>
          <w:p w14:paraId="3422E156" w14:textId="77777777" w:rsidR="00821181" w:rsidRPr="00821181" w:rsidRDefault="00821181" w:rsidP="006C401B">
            <w:pPr>
              <w:pStyle w:val="TableText"/>
              <w:rPr>
                <w:rtl/>
              </w:rPr>
            </w:pPr>
            <w:r w:rsidRPr="00821181">
              <w:rPr>
                <w:rFonts w:hint="cs"/>
                <w:rtl/>
              </w:rPr>
              <w:t>4.</w:t>
            </w:r>
          </w:p>
        </w:tc>
        <w:tc>
          <w:tcPr>
            <w:tcW w:w="7146" w:type="dxa"/>
            <w:gridSpan w:val="2"/>
          </w:tcPr>
          <w:p w14:paraId="392B7284" w14:textId="77777777" w:rsidR="00821181" w:rsidRPr="00821181" w:rsidRDefault="00821181" w:rsidP="006C401B">
            <w:pPr>
              <w:pStyle w:val="TableBlock"/>
              <w:keepLines w:val="0"/>
              <w:rPr>
                <w:rtl/>
              </w:rPr>
            </w:pPr>
            <w:r w:rsidRPr="00821181">
              <w:rPr>
                <w:rFonts w:hint="cs"/>
                <w:rtl/>
              </w:rPr>
              <w:t>לא יהיה זכאי לתגמול לפי חוק זה מי שהתקיים בו תנאי מהתנאים האלה, בעד התקופה שבה התקיים בו התנאי האמור:</w:t>
            </w:r>
            <w:r w:rsidRPr="00821181">
              <w:rPr>
                <w:rtl/>
              </w:rPr>
              <w:tab/>
            </w:r>
          </w:p>
        </w:tc>
      </w:tr>
      <w:tr w:rsidR="00821181" w:rsidRPr="00821181" w14:paraId="773100E4" w14:textId="77777777" w:rsidTr="006C401B">
        <w:trPr>
          <w:cantSplit/>
          <w:trHeight w:val="60"/>
        </w:trPr>
        <w:tc>
          <w:tcPr>
            <w:tcW w:w="1871" w:type="dxa"/>
          </w:tcPr>
          <w:p w14:paraId="4EFC2168" w14:textId="77777777" w:rsidR="00821181" w:rsidRPr="00821181" w:rsidRDefault="00821181" w:rsidP="006C401B">
            <w:pPr>
              <w:pStyle w:val="TableSideHeading"/>
              <w:keepLines w:val="0"/>
              <w:rPr>
                <w:rtl/>
              </w:rPr>
            </w:pPr>
          </w:p>
        </w:tc>
        <w:tc>
          <w:tcPr>
            <w:tcW w:w="624" w:type="dxa"/>
          </w:tcPr>
          <w:p w14:paraId="399A6188" w14:textId="77777777" w:rsidR="00821181" w:rsidRPr="00821181" w:rsidRDefault="00821181" w:rsidP="006C401B">
            <w:pPr>
              <w:pStyle w:val="TableText"/>
              <w:rPr>
                <w:rtl/>
              </w:rPr>
            </w:pPr>
          </w:p>
        </w:tc>
        <w:tc>
          <w:tcPr>
            <w:tcW w:w="7146" w:type="dxa"/>
            <w:gridSpan w:val="2"/>
          </w:tcPr>
          <w:p w14:paraId="729C7492" w14:textId="77777777" w:rsidR="00821181" w:rsidRPr="00821181" w:rsidRDefault="00821181" w:rsidP="006C401B">
            <w:pPr>
              <w:pStyle w:val="TableBlock"/>
              <w:keepLines w:val="0"/>
              <w:rPr>
                <w:rtl/>
              </w:rPr>
            </w:pPr>
            <w:r w:rsidRPr="00821181">
              <w:rPr>
                <w:rFonts w:hint="cs"/>
                <w:rtl/>
              </w:rPr>
              <w:t>(1)</w:t>
            </w:r>
            <w:r w:rsidRPr="00821181">
              <w:rPr>
                <w:rtl/>
              </w:rPr>
              <w:tab/>
            </w:r>
            <w:r w:rsidRPr="00821181">
              <w:rPr>
                <w:rFonts w:hint="cs"/>
                <w:rtl/>
              </w:rPr>
              <w:t>הוא עובד תמורת שכר;</w:t>
            </w:r>
          </w:p>
        </w:tc>
      </w:tr>
      <w:tr w:rsidR="00821181" w:rsidRPr="00821181" w14:paraId="30577702" w14:textId="77777777" w:rsidTr="006C401B">
        <w:trPr>
          <w:cantSplit/>
          <w:trHeight w:val="60"/>
        </w:trPr>
        <w:tc>
          <w:tcPr>
            <w:tcW w:w="1871" w:type="dxa"/>
          </w:tcPr>
          <w:p w14:paraId="2DFC34C6" w14:textId="77777777" w:rsidR="00821181" w:rsidRPr="00821181" w:rsidRDefault="00821181" w:rsidP="006C401B">
            <w:pPr>
              <w:pStyle w:val="TableSideHeading"/>
              <w:keepLines w:val="0"/>
              <w:rPr>
                <w:rtl/>
              </w:rPr>
            </w:pPr>
          </w:p>
        </w:tc>
        <w:tc>
          <w:tcPr>
            <w:tcW w:w="624" w:type="dxa"/>
          </w:tcPr>
          <w:p w14:paraId="3F8152D7" w14:textId="77777777" w:rsidR="00821181" w:rsidRPr="00821181" w:rsidRDefault="00821181" w:rsidP="006C401B">
            <w:pPr>
              <w:pStyle w:val="TableText"/>
              <w:rPr>
                <w:rtl/>
              </w:rPr>
            </w:pPr>
          </w:p>
        </w:tc>
        <w:tc>
          <w:tcPr>
            <w:tcW w:w="7146" w:type="dxa"/>
            <w:gridSpan w:val="2"/>
          </w:tcPr>
          <w:p w14:paraId="5F53E3CF" w14:textId="77777777" w:rsidR="00821181" w:rsidRPr="00821181" w:rsidRDefault="00821181" w:rsidP="006C401B">
            <w:pPr>
              <w:pStyle w:val="TableBlock"/>
              <w:keepLines w:val="0"/>
              <w:rPr>
                <w:rtl/>
              </w:rPr>
            </w:pPr>
            <w:r w:rsidRPr="00821181">
              <w:rPr>
                <w:rFonts w:hint="cs"/>
                <w:rtl/>
              </w:rPr>
              <w:t>(2)</w:t>
            </w:r>
            <w:r w:rsidRPr="00821181">
              <w:rPr>
                <w:rtl/>
              </w:rPr>
              <w:tab/>
            </w:r>
            <w:r w:rsidRPr="00821181">
              <w:rPr>
                <w:rFonts w:hint="cs"/>
                <w:rtl/>
              </w:rPr>
              <w:t>הוא זכאי לתשלום דמי אבטלה.</w:t>
            </w:r>
          </w:p>
        </w:tc>
      </w:tr>
      <w:tr w:rsidR="00821181" w:rsidRPr="00821181" w14:paraId="55F1BD38" w14:textId="77777777" w:rsidTr="006C401B">
        <w:trPr>
          <w:cantSplit/>
          <w:trHeight w:val="60"/>
        </w:trPr>
        <w:tc>
          <w:tcPr>
            <w:tcW w:w="1871" w:type="dxa"/>
          </w:tcPr>
          <w:p w14:paraId="267D5667" w14:textId="77777777" w:rsidR="00821181" w:rsidRPr="00821181" w:rsidRDefault="00821181" w:rsidP="006C401B">
            <w:pPr>
              <w:pStyle w:val="TableSideHeading"/>
              <w:keepLines w:val="0"/>
              <w:rPr>
                <w:rtl/>
              </w:rPr>
            </w:pPr>
            <w:r w:rsidRPr="00821181">
              <w:rPr>
                <w:rFonts w:hint="cs"/>
                <w:rtl/>
              </w:rPr>
              <w:t>שמירת זכויות</w:t>
            </w:r>
          </w:p>
        </w:tc>
        <w:tc>
          <w:tcPr>
            <w:tcW w:w="624" w:type="dxa"/>
          </w:tcPr>
          <w:p w14:paraId="31687C9E" w14:textId="77777777" w:rsidR="00821181" w:rsidRPr="00821181" w:rsidRDefault="00821181" w:rsidP="006C401B">
            <w:pPr>
              <w:pStyle w:val="TableText"/>
              <w:rPr>
                <w:rtl/>
              </w:rPr>
            </w:pPr>
            <w:r w:rsidRPr="00821181">
              <w:rPr>
                <w:rFonts w:hint="cs"/>
                <w:rtl/>
              </w:rPr>
              <w:t>5.</w:t>
            </w:r>
          </w:p>
        </w:tc>
        <w:tc>
          <w:tcPr>
            <w:tcW w:w="7146" w:type="dxa"/>
            <w:gridSpan w:val="2"/>
          </w:tcPr>
          <w:p w14:paraId="10819304" w14:textId="77777777" w:rsidR="00821181" w:rsidRPr="00821181" w:rsidRDefault="00821181" w:rsidP="006C401B">
            <w:pPr>
              <w:pStyle w:val="TableBlock"/>
              <w:keepLines w:val="0"/>
              <w:rPr>
                <w:rtl/>
              </w:rPr>
            </w:pPr>
            <w:r w:rsidRPr="00821181">
              <w:rPr>
                <w:rFonts w:hint="cs"/>
                <w:rtl/>
              </w:rPr>
              <w:t>(א)</w:t>
            </w:r>
            <w:r w:rsidRPr="00821181">
              <w:rPr>
                <w:rtl/>
              </w:rPr>
              <w:tab/>
            </w:r>
            <w:r w:rsidRPr="00821181">
              <w:rPr>
                <w:rFonts w:hint="cs"/>
                <w:rtl/>
              </w:rPr>
              <w:t>ימי מחלה המגיעים לעובד לא יגרעו מזכותו לתגמול לפי חוק זה, ויום ששולם בעדו תגמול לא ייגרע ממכסת ימי המחלה המגיעים לעובד ובלבד שלא ישולם תגמול בעד יום שבעדו שולמו לעובד דמי מחלה.</w:t>
            </w:r>
          </w:p>
        </w:tc>
      </w:tr>
      <w:tr w:rsidR="00821181" w:rsidRPr="00821181" w14:paraId="04B547C3" w14:textId="77777777" w:rsidTr="006C401B">
        <w:trPr>
          <w:cantSplit/>
          <w:trHeight w:val="60"/>
        </w:trPr>
        <w:tc>
          <w:tcPr>
            <w:tcW w:w="1871" w:type="dxa"/>
          </w:tcPr>
          <w:p w14:paraId="35F4F319" w14:textId="77777777" w:rsidR="00821181" w:rsidRPr="00821181" w:rsidRDefault="00821181" w:rsidP="006C401B">
            <w:pPr>
              <w:pStyle w:val="TableSideHeading"/>
              <w:keepLines w:val="0"/>
              <w:rPr>
                <w:rtl/>
              </w:rPr>
            </w:pPr>
          </w:p>
        </w:tc>
        <w:tc>
          <w:tcPr>
            <w:tcW w:w="624" w:type="dxa"/>
          </w:tcPr>
          <w:p w14:paraId="111ED330" w14:textId="77777777" w:rsidR="00821181" w:rsidRPr="00821181" w:rsidRDefault="00821181" w:rsidP="006C401B">
            <w:pPr>
              <w:pStyle w:val="TableText"/>
              <w:rPr>
                <w:rtl/>
              </w:rPr>
            </w:pPr>
          </w:p>
        </w:tc>
        <w:tc>
          <w:tcPr>
            <w:tcW w:w="7146" w:type="dxa"/>
            <w:gridSpan w:val="2"/>
          </w:tcPr>
          <w:p w14:paraId="66988864" w14:textId="77777777" w:rsidR="00821181" w:rsidRPr="00821181" w:rsidRDefault="00821181" w:rsidP="006C401B">
            <w:pPr>
              <w:pStyle w:val="TableBlock"/>
              <w:keepLines w:val="0"/>
              <w:rPr>
                <w:rtl/>
              </w:rPr>
            </w:pPr>
            <w:r w:rsidRPr="00821181">
              <w:rPr>
                <w:rFonts w:hint="cs"/>
                <w:rtl/>
              </w:rPr>
              <w:t>(ב)</w:t>
            </w:r>
            <w:r w:rsidRPr="00821181">
              <w:rPr>
                <w:rtl/>
              </w:rPr>
              <w:tab/>
            </w:r>
            <w:r w:rsidRPr="00821181">
              <w:rPr>
                <w:rFonts w:hint="cs"/>
                <w:rtl/>
              </w:rPr>
              <w:t>היעדרות עובד בשל הנסיבות כאמור בסעיף 2(א) לא תיגרע מזכויות העובד התלויות בוותק במקום העבודה.</w:t>
            </w:r>
          </w:p>
        </w:tc>
      </w:tr>
      <w:tr w:rsidR="00821181" w:rsidRPr="00821181" w14:paraId="179B0C0A" w14:textId="77777777" w:rsidTr="006C401B">
        <w:trPr>
          <w:cantSplit/>
          <w:trHeight w:val="60"/>
        </w:trPr>
        <w:tc>
          <w:tcPr>
            <w:tcW w:w="1871" w:type="dxa"/>
          </w:tcPr>
          <w:p w14:paraId="398EB8BD" w14:textId="77777777" w:rsidR="00821181" w:rsidRPr="00821181" w:rsidRDefault="00821181" w:rsidP="006C401B">
            <w:pPr>
              <w:pStyle w:val="TableSideHeading"/>
              <w:keepLines w:val="0"/>
              <w:rPr>
                <w:rtl/>
              </w:rPr>
            </w:pPr>
            <w:r w:rsidRPr="00821181">
              <w:rPr>
                <w:rFonts w:hint="cs"/>
                <w:rtl/>
              </w:rPr>
              <w:t>איסור פיטורים</w:t>
            </w:r>
          </w:p>
        </w:tc>
        <w:tc>
          <w:tcPr>
            <w:tcW w:w="624" w:type="dxa"/>
          </w:tcPr>
          <w:p w14:paraId="33520DA4" w14:textId="77777777" w:rsidR="00821181" w:rsidRPr="00821181" w:rsidRDefault="00821181" w:rsidP="006C401B">
            <w:pPr>
              <w:pStyle w:val="TableText"/>
              <w:rPr>
                <w:rtl/>
              </w:rPr>
            </w:pPr>
            <w:r w:rsidRPr="00821181">
              <w:rPr>
                <w:rFonts w:hint="cs"/>
                <w:rtl/>
              </w:rPr>
              <w:t>6.</w:t>
            </w:r>
          </w:p>
        </w:tc>
        <w:tc>
          <w:tcPr>
            <w:tcW w:w="7146" w:type="dxa"/>
            <w:gridSpan w:val="2"/>
          </w:tcPr>
          <w:p w14:paraId="6DE22464" w14:textId="77777777" w:rsidR="00821181" w:rsidRPr="00821181" w:rsidRDefault="00821181" w:rsidP="006C401B">
            <w:pPr>
              <w:pStyle w:val="TableBlock"/>
              <w:keepLines w:val="0"/>
              <w:rPr>
                <w:rtl/>
              </w:rPr>
            </w:pPr>
            <w:r w:rsidRPr="00821181">
              <w:rPr>
                <w:rFonts w:hint="cs"/>
                <w:rtl/>
              </w:rPr>
              <w:t>(א)</w:t>
            </w:r>
            <w:r w:rsidRPr="00821181">
              <w:rPr>
                <w:rtl/>
              </w:rPr>
              <w:tab/>
            </w:r>
            <w:r w:rsidRPr="00821181">
              <w:rPr>
                <w:rFonts w:hint="cs"/>
                <w:rtl/>
              </w:rPr>
              <w:t>לא יפטר מעסיק עובד שנעדר ממקום עבודתו בנסיבות המפורטות בפסקאות (1) עד (3) של סעיף 2(א).</w:t>
            </w:r>
          </w:p>
        </w:tc>
      </w:tr>
      <w:tr w:rsidR="00821181" w:rsidRPr="00821181" w14:paraId="542D5BDE" w14:textId="77777777" w:rsidTr="006C401B">
        <w:trPr>
          <w:cantSplit/>
          <w:trHeight w:val="60"/>
        </w:trPr>
        <w:tc>
          <w:tcPr>
            <w:tcW w:w="1871" w:type="dxa"/>
          </w:tcPr>
          <w:p w14:paraId="32298AEA" w14:textId="77777777" w:rsidR="00821181" w:rsidRPr="00821181" w:rsidRDefault="00821181" w:rsidP="006C401B">
            <w:pPr>
              <w:pStyle w:val="TableSideHeading"/>
              <w:keepLines w:val="0"/>
              <w:rPr>
                <w:rtl/>
              </w:rPr>
            </w:pPr>
          </w:p>
        </w:tc>
        <w:tc>
          <w:tcPr>
            <w:tcW w:w="624" w:type="dxa"/>
          </w:tcPr>
          <w:p w14:paraId="7EC2FE15" w14:textId="77777777" w:rsidR="00821181" w:rsidRPr="00821181" w:rsidRDefault="00821181" w:rsidP="006C401B">
            <w:pPr>
              <w:pStyle w:val="TableText"/>
              <w:rPr>
                <w:rtl/>
              </w:rPr>
            </w:pPr>
          </w:p>
        </w:tc>
        <w:tc>
          <w:tcPr>
            <w:tcW w:w="7146" w:type="dxa"/>
            <w:gridSpan w:val="2"/>
          </w:tcPr>
          <w:p w14:paraId="199A6BFC" w14:textId="77777777" w:rsidR="00821181" w:rsidRPr="00821181" w:rsidRDefault="00821181" w:rsidP="006C401B">
            <w:pPr>
              <w:pStyle w:val="TableBlock"/>
              <w:keepLines w:val="0"/>
              <w:rPr>
                <w:rtl/>
              </w:rPr>
            </w:pPr>
            <w:r w:rsidRPr="00821181">
              <w:rPr>
                <w:rFonts w:hint="cs"/>
                <w:rtl/>
              </w:rPr>
              <w:t>(ב)</w:t>
            </w:r>
            <w:r w:rsidRPr="00821181">
              <w:rPr>
                <w:rtl/>
              </w:rPr>
              <w:tab/>
            </w:r>
            <w:r w:rsidRPr="00821181">
              <w:rPr>
                <w:rFonts w:hint="cs"/>
                <w:rtl/>
              </w:rPr>
              <w:t>הוראות סעיף זה לא יחולו באחד מאלה:</w:t>
            </w:r>
          </w:p>
        </w:tc>
      </w:tr>
      <w:tr w:rsidR="00821181" w:rsidRPr="00821181" w14:paraId="1203CD28" w14:textId="77777777" w:rsidTr="006C401B">
        <w:trPr>
          <w:cantSplit/>
          <w:trHeight w:val="60"/>
        </w:trPr>
        <w:tc>
          <w:tcPr>
            <w:tcW w:w="1871" w:type="dxa"/>
          </w:tcPr>
          <w:p w14:paraId="6B2A2BC3" w14:textId="77777777" w:rsidR="00821181" w:rsidRPr="00821181" w:rsidRDefault="00821181" w:rsidP="006C401B">
            <w:pPr>
              <w:pStyle w:val="TableSideHeading"/>
            </w:pPr>
          </w:p>
        </w:tc>
        <w:tc>
          <w:tcPr>
            <w:tcW w:w="624" w:type="dxa"/>
          </w:tcPr>
          <w:p w14:paraId="4BDDC90E" w14:textId="77777777" w:rsidR="00821181" w:rsidRPr="00821181" w:rsidRDefault="00821181" w:rsidP="006C401B">
            <w:pPr>
              <w:pStyle w:val="TableText"/>
            </w:pPr>
          </w:p>
        </w:tc>
        <w:tc>
          <w:tcPr>
            <w:tcW w:w="624" w:type="dxa"/>
          </w:tcPr>
          <w:p w14:paraId="1677099C" w14:textId="77777777" w:rsidR="00821181" w:rsidRPr="00821181" w:rsidRDefault="00821181" w:rsidP="006C401B">
            <w:pPr>
              <w:pStyle w:val="TableText"/>
            </w:pPr>
          </w:p>
        </w:tc>
        <w:tc>
          <w:tcPr>
            <w:tcW w:w="6522" w:type="dxa"/>
          </w:tcPr>
          <w:p w14:paraId="6FB8723F" w14:textId="77777777" w:rsidR="00821181" w:rsidRPr="00821181" w:rsidRDefault="00821181" w:rsidP="006C401B">
            <w:pPr>
              <w:pStyle w:val="TableBlock"/>
            </w:pPr>
            <w:r w:rsidRPr="00821181">
              <w:rPr>
                <w:rFonts w:hint="cs"/>
                <w:rtl/>
              </w:rPr>
              <w:t>(1)</w:t>
            </w:r>
            <w:r w:rsidRPr="00821181">
              <w:rPr>
                <w:rtl/>
              </w:rPr>
              <w:tab/>
            </w:r>
            <w:r w:rsidRPr="00821181">
              <w:rPr>
                <w:rFonts w:hint="cs"/>
                <w:rtl/>
              </w:rPr>
              <w:t xml:space="preserve">המעסיק נתן לעובד הודעה מוקדמת לפיטורים לפי חוק הודעה מוקדמת לפיטורים ולהתפטרות, </w:t>
            </w:r>
            <w:proofErr w:type="spellStart"/>
            <w:r w:rsidRPr="00821181">
              <w:rPr>
                <w:rFonts w:hint="cs"/>
                <w:rtl/>
              </w:rPr>
              <w:t>התשס"א</w:t>
            </w:r>
            <w:proofErr w:type="spellEnd"/>
            <w:r w:rsidRPr="00821181">
              <w:rPr>
                <w:rFonts w:hint="eastAsia"/>
                <w:rtl/>
              </w:rPr>
              <w:t>–</w:t>
            </w:r>
            <w:r w:rsidRPr="00821181">
              <w:rPr>
                <w:rFonts w:hint="cs"/>
                <w:rtl/>
              </w:rPr>
              <w:t>2001</w:t>
            </w:r>
            <w:r w:rsidRPr="00821181">
              <w:rPr>
                <w:rStyle w:val="a6"/>
                <w:rtl/>
              </w:rPr>
              <w:footnoteReference w:id="4"/>
            </w:r>
            <w:r w:rsidRPr="00821181">
              <w:rPr>
                <w:rFonts w:hint="cs"/>
                <w:rtl/>
              </w:rPr>
              <w:t>, בטרם נעדר העובד בנסיבות כאמור בסעיף 2(א);</w:t>
            </w:r>
          </w:p>
        </w:tc>
      </w:tr>
      <w:tr w:rsidR="00821181" w:rsidRPr="00821181" w14:paraId="0CC8E812" w14:textId="77777777" w:rsidTr="006C401B">
        <w:trPr>
          <w:cantSplit/>
          <w:trHeight w:val="60"/>
        </w:trPr>
        <w:tc>
          <w:tcPr>
            <w:tcW w:w="1871" w:type="dxa"/>
          </w:tcPr>
          <w:p w14:paraId="36E22B28" w14:textId="77777777" w:rsidR="00821181" w:rsidRPr="00821181" w:rsidRDefault="00821181" w:rsidP="006C401B">
            <w:pPr>
              <w:pStyle w:val="TableSideHeading"/>
            </w:pPr>
          </w:p>
        </w:tc>
        <w:tc>
          <w:tcPr>
            <w:tcW w:w="624" w:type="dxa"/>
          </w:tcPr>
          <w:p w14:paraId="1D9E7D24" w14:textId="77777777" w:rsidR="00821181" w:rsidRPr="00821181" w:rsidRDefault="00821181" w:rsidP="006C401B">
            <w:pPr>
              <w:pStyle w:val="TableText"/>
            </w:pPr>
          </w:p>
        </w:tc>
        <w:tc>
          <w:tcPr>
            <w:tcW w:w="624" w:type="dxa"/>
          </w:tcPr>
          <w:p w14:paraId="64339F39" w14:textId="77777777" w:rsidR="00821181" w:rsidRPr="00821181" w:rsidRDefault="00821181" w:rsidP="006C401B">
            <w:pPr>
              <w:pStyle w:val="TableText"/>
            </w:pPr>
          </w:p>
        </w:tc>
        <w:tc>
          <w:tcPr>
            <w:tcW w:w="6522" w:type="dxa"/>
          </w:tcPr>
          <w:p w14:paraId="2B70430C" w14:textId="77777777" w:rsidR="00821181" w:rsidRPr="00821181" w:rsidRDefault="00821181" w:rsidP="006C401B">
            <w:pPr>
              <w:pStyle w:val="TableBlock"/>
              <w:rPr>
                <w:rtl/>
              </w:rPr>
            </w:pPr>
            <w:r w:rsidRPr="00821181">
              <w:rPr>
                <w:rFonts w:hint="cs"/>
                <w:rtl/>
              </w:rPr>
              <w:t>(2)</w:t>
            </w:r>
            <w:r w:rsidRPr="00821181">
              <w:rPr>
                <w:rtl/>
              </w:rPr>
              <w:tab/>
            </w:r>
            <w:r w:rsidRPr="00821181">
              <w:rPr>
                <w:rFonts w:hint="cs"/>
                <w:rtl/>
              </w:rPr>
              <w:t xml:space="preserve">מקום עבודתו של העובד פסק מלפעול או שניתן לגבי המעסיק צו לפתיחת הליכים לפי חוק חדלות </w:t>
            </w:r>
            <w:proofErr w:type="spellStart"/>
            <w:r w:rsidRPr="00821181">
              <w:rPr>
                <w:rFonts w:hint="cs"/>
                <w:rtl/>
              </w:rPr>
              <w:t>פרעון</w:t>
            </w:r>
            <w:proofErr w:type="spellEnd"/>
            <w:r w:rsidRPr="00821181">
              <w:rPr>
                <w:rFonts w:hint="cs"/>
                <w:rtl/>
              </w:rPr>
              <w:t xml:space="preserve"> ושיקום כלכלי, </w:t>
            </w:r>
            <w:proofErr w:type="spellStart"/>
            <w:r w:rsidRPr="00821181">
              <w:rPr>
                <w:rFonts w:hint="cs"/>
                <w:rtl/>
              </w:rPr>
              <w:t>התשע"ח</w:t>
            </w:r>
            <w:proofErr w:type="spellEnd"/>
            <w:r w:rsidRPr="00821181">
              <w:rPr>
                <w:rFonts w:hint="eastAsia"/>
                <w:rtl/>
              </w:rPr>
              <w:t>–</w:t>
            </w:r>
            <w:r w:rsidRPr="00821181">
              <w:rPr>
                <w:rFonts w:hint="cs"/>
                <w:rtl/>
              </w:rPr>
              <w:t>2018</w:t>
            </w:r>
            <w:r w:rsidRPr="00821181">
              <w:rPr>
                <w:rStyle w:val="a6"/>
                <w:rtl/>
              </w:rPr>
              <w:footnoteReference w:id="5"/>
            </w:r>
            <w:r w:rsidRPr="00821181">
              <w:rPr>
                <w:rFonts w:hint="cs"/>
                <w:rtl/>
              </w:rPr>
              <w:t xml:space="preserve">; לעניין זה, "פסק מלפעול" </w:t>
            </w:r>
            <w:r w:rsidRPr="00821181">
              <w:rPr>
                <w:rtl/>
              </w:rPr>
              <w:t>–</w:t>
            </w:r>
            <w:r w:rsidRPr="00821181">
              <w:rPr>
                <w:rFonts w:hint="cs"/>
                <w:rtl/>
              </w:rPr>
              <w:t xml:space="preserve"> הפסקת פעילות שאינה זמנית.</w:t>
            </w:r>
          </w:p>
        </w:tc>
      </w:tr>
      <w:tr w:rsidR="00821181" w:rsidRPr="00821181" w14:paraId="28FD4C48" w14:textId="77777777" w:rsidTr="006C401B">
        <w:trPr>
          <w:cantSplit/>
          <w:trHeight w:val="60"/>
        </w:trPr>
        <w:tc>
          <w:tcPr>
            <w:tcW w:w="1871" w:type="dxa"/>
          </w:tcPr>
          <w:p w14:paraId="127BC3AC" w14:textId="77777777" w:rsidR="00821181" w:rsidRPr="00821181" w:rsidRDefault="00821181" w:rsidP="006C401B">
            <w:pPr>
              <w:pStyle w:val="TableSideHeading"/>
              <w:keepLines w:val="0"/>
              <w:rPr>
                <w:rtl/>
              </w:rPr>
            </w:pPr>
            <w:r w:rsidRPr="00821181">
              <w:rPr>
                <w:rFonts w:hint="cs"/>
                <w:rtl/>
              </w:rPr>
              <w:t>סמכות שיפוט</w:t>
            </w:r>
          </w:p>
        </w:tc>
        <w:tc>
          <w:tcPr>
            <w:tcW w:w="624" w:type="dxa"/>
          </w:tcPr>
          <w:p w14:paraId="310E5BC0" w14:textId="77777777" w:rsidR="00821181" w:rsidRPr="00821181" w:rsidRDefault="00821181" w:rsidP="006C401B">
            <w:pPr>
              <w:pStyle w:val="TableText"/>
              <w:rPr>
                <w:rtl/>
              </w:rPr>
            </w:pPr>
            <w:r w:rsidRPr="00821181">
              <w:rPr>
                <w:rFonts w:hint="cs"/>
                <w:rtl/>
              </w:rPr>
              <w:t>7.</w:t>
            </w:r>
          </w:p>
        </w:tc>
        <w:tc>
          <w:tcPr>
            <w:tcW w:w="7146" w:type="dxa"/>
            <w:gridSpan w:val="2"/>
          </w:tcPr>
          <w:p w14:paraId="0EE2AC6B" w14:textId="77777777" w:rsidR="00821181" w:rsidRPr="00821181" w:rsidRDefault="00821181" w:rsidP="006C401B">
            <w:pPr>
              <w:pStyle w:val="TableBlock"/>
              <w:keepLines w:val="0"/>
              <w:rPr>
                <w:rtl/>
              </w:rPr>
            </w:pPr>
            <w:r w:rsidRPr="00821181">
              <w:rPr>
                <w:rtl/>
              </w:rPr>
              <w:t>ל</w:t>
            </w:r>
            <w:r w:rsidRPr="00821181">
              <w:rPr>
                <w:rFonts w:hint="cs"/>
                <w:rtl/>
              </w:rPr>
              <w:t>בית דין אזורי לעבודה תהא סמכות ייחודית לדון בתביעות לפי חוק זה ובכלל זה תביעה לתגמול או להחזר תגמול שניתן בטעות או שלא כדין.</w:t>
            </w:r>
          </w:p>
        </w:tc>
      </w:tr>
      <w:tr w:rsidR="00821181" w:rsidRPr="00821181" w14:paraId="6B7AE682" w14:textId="77777777" w:rsidTr="006C401B">
        <w:trPr>
          <w:cantSplit/>
          <w:trHeight w:val="60"/>
        </w:trPr>
        <w:tc>
          <w:tcPr>
            <w:tcW w:w="1871" w:type="dxa"/>
          </w:tcPr>
          <w:p w14:paraId="18641D9B" w14:textId="77777777" w:rsidR="00821181" w:rsidRPr="00821181" w:rsidRDefault="00821181" w:rsidP="006C401B">
            <w:pPr>
              <w:pStyle w:val="TableSideHeading"/>
              <w:keepLines w:val="0"/>
              <w:rPr>
                <w:rtl/>
              </w:rPr>
            </w:pPr>
            <w:r w:rsidRPr="00821181">
              <w:rPr>
                <w:rFonts w:hint="cs"/>
                <w:rtl/>
              </w:rPr>
              <w:t xml:space="preserve">ביצוע ותקנות </w:t>
            </w:r>
          </w:p>
        </w:tc>
        <w:tc>
          <w:tcPr>
            <w:tcW w:w="624" w:type="dxa"/>
          </w:tcPr>
          <w:p w14:paraId="53D086AB" w14:textId="77777777" w:rsidR="00821181" w:rsidRPr="00821181" w:rsidRDefault="00821181" w:rsidP="006C401B">
            <w:pPr>
              <w:pStyle w:val="TableText"/>
              <w:keepLines w:val="0"/>
              <w:tabs>
                <w:tab w:val="clear" w:pos="624"/>
              </w:tabs>
              <w:rPr>
                <w:rtl/>
              </w:rPr>
            </w:pPr>
            <w:r w:rsidRPr="00821181">
              <w:rPr>
                <w:rFonts w:hint="cs"/>
                <w:rtl/>
              </w:rPr>
              <w:t>8.</w:t>
            </w:r>
          </w:p>
        </w:tc>
        <w:tc>
          <w:tcPr>
            <w:tcW w:w="7146" w:type="dxa"/>
            <w:gridSpan w:val="2"/>
          </w:tcPr>
          <w:p w14:paraId="01CB3347" w14:textId="77777777" w:rsidR="00821181" w:rsidRPr="00821181" w:rsidRDefault="00821181" w:rsidP="006C401B">
            <w:pPr>
              <w:pStyle w:val="TableBlock"/>
              <w:keepLines w:val="0"/>
              <w:rPr>
                <w:rtl/>
              </w:rPr>
            </w:pPr>
            <w:r w:rsidRPr="00821181">
              <w:rPr>
                <w:rFonts w:hint="cs"/>
                <w:rtl/>
              </w:rPr>
              <w:t>השר ממונה על חוק זה והוא רשאי לקבוע הוראות לביצועו ובכלל זה הוראות לעניין דרכי הוכחת הנסיבות האמורות בסעיף 2(א), ולעניין דרכי הוכחת סכום התגמול המגיע לפי חוק זה.</w:t>
            </w:r>
          </w:p>
        </w:tc>
      </w:tr>
      <w:tr w:rsidR="00821181" w:rsidRPr="00821181" w14:paraId="380578F2" w14:textId="77777777" w:rsidTr="006C401B">
        <w:trPr>
          <w:cantSplit/>
          <w:trHeight w:val="60"/>
        </w:trPr>
        <w:tc>
          <w:tcPr>
            <w:tcW w:w="1871" w:type="dxa"/>
          </w:tcPr>
          <w:p w14:paraId="64EA0083" w14:textId="77777777" w:rsidR="00821181" w:rsidRPr="00821181" w:rsidRDefault="00821181" w:rsidP="006C401B">
            <w:pPr>
              <w:pStyle w:val="TableSideHeading"/>
              <w:keepLines w:val="0"/>
              <w:rPr>
                <w:rtl/>
              </w:rPr>
            </w:pPr>
            <w:r w:rsidRPr="00821181">
              <w:rPr>
                <w:rFonts w:hint="cs"/>
                <w:rtl/>
              </w:rPr>
              <w:t>תיקון חוק הביטוח הלאומי</w:t>
            </w:r>
          </w:p>
        </w:tc>
        <w:tc>
          <w:tcPr>
            <w:tcW w:w="624" w:type="dxa"/>
          </w:tcPr>
          <w:p w14:paraId="0022991B" w14:textId="77777777" w:rsidR="00821181" w:rsidRPr="00821181" w:rsidRDefault="00821181" w:rsidP="006C401B">
            <w:pPr>
              <w:pStyle w:val="TableText"/>
              <w:rPr>
                <w:rtl/>
              </w:rPr>
            </w:pPr>
            <w:r w:rsidRPr="00821181">
              <w:rPr>
                <w:rFonts w:hint="cs"/>
                <w:rtl/>
              </w:rPr>
              <w:t>9.</w:t>
            </w:r>
          </w:p>
        </w:tc>
        <w:tc>
          <w:tcPr>
            <w:tcW w:w="7146" w:type="dxa"/>
            <w:gridSpan w:val="2"/>
          </w:tcPr>
          <w:p w14:paraId="4A58496B" w14:textId="77777777" w:rsidR="00821181" w:rsidRPr="00821181" w:rsidRDefault="00821181" w:rsidP="006C401B">
            <w:pPr>
              <w:pStyle w:val="TableBlock"/>
              <w:keepLines w:val="0"/>
              <w:rPr>
                <w:rtl/>
              </w:rPr>
            </w:pPr>
            <w:r w:rsidRPr="00821181">
              <w:rPr>
                <w:rFonts w:hint="cs"/>
                <w:rtl/>
              </w:rPr>
              <w:t xml:space="preserve">בחוק הביטוח הלאומי [נוסח משולב], </w:t>
            </w:r>
            <w:proofErr w:type="spellStart"/>
            <w:r w:rsidRPr="00821181">
              <w:rPr>
                <w:rFonts w:hint="cs"/>
                <w:rtl/>
              </w:rPr>
              <w:t>התשנ"ה</w:t>
            </w:r>
            <w:proofErr w:type="spellEnd"/>
            <w:r w:rsidRPr="00821181">
              <w:rPr>
                <w:rFonts w:hint="eastAsia"/>
                <w:rtl/>
              </w:rPr>
              <w:t>–</w:t>
            </w:r>
            <w:r w:rsidRPr="00821181">
              <w:rPr>
                <w:rFonts w:hint="cs"/>
                <w:rtl/>
              </w:rPr>
              <w:t>1995</w:t>
            </w:r>
            <w:r w:rsidRPr="00821181">
              <w:rPr>
                <w:rStyle w:val="a6"/>
                <w:rtl/>
              </w:rPr>
              <w:footnoteReference w:id="6"/>
            </w:r>
            <w:r w:rsidRPr="00821181">
              <w:rPr>
                <w:rFonts w:hint="cs"/>
                <w:rtl/>
              </w:rPr>
              <w:t>, בסעיף 161(ג), אחרי פסקה (3) יבוא:</w:t>
            </w:r>
          </w:p>
        </w:tc>
      </w:tr>
      <w:tr w:rsidR="00821181" w:rsidRPr="00821181" w14:paraId="6ABC43D3" w14:textId="77777777" w:rsidTr="006C401B">
        <w:trPr>
          <w:cantSplit/>
          <w:trHeight w:val="60"/>
        </w:trPr>
        <w:tc>
          <w:tcPr>
            <w:tcW w:w="1871" w:type="dxa"/>
          </w:tcPr>
          <w:p w14:paraId="44FDB36E" w14:textId="77777777" w:rsidR="00821181" w:rsidRPr="00821181" w:rsidRDefault="00821181" w:rsidP="006C401B">
            <w:pPr>
              <w:pStyle w:val="TableSideHeading"/>
            </w:pPr>
          </w:p>
        </w:tc>
        <w:tc>
          <w:tcPr>
            <w:tcW w:w="624" w:type="dxa"/>
          </w:tcPr>
          <w:p w14:paraId="53D962CB" w14:textId="77777777" w:rsidR="00821181" w:rsidRPr="00821181" w:rsidRDefault="00821181" w:rsidP="006C401B">
            <w:pPr>
              <w:pStyle w:val="TableText"/>
            </w:pPr>
          </w:p>
        </w:tc>
        <w:tc>
          <w:tcPr>
            <w:tcW w:w="624" w:type="dxa"/>
          </w:tcPr>
          <w:p w14:paraId="55AFEBCC" w14:textId="77777777" w:rsidR="00821181" w:rsidRPr="00821181" w:rsidRDefault="00821181" w:rsidP="006C401B">
            <w:pPr>
              <w:pStyle w:val="TableText"/>
            </w:pPr>
          </w:p>
        </w:tc>
        <w:tc>
          <w:tcPr>
            <w:tcW w:w="6522" w:type="dxa"/>
          </w:tcPr>
          <w:p w14:paraId="58F5DA15" w14:textId="77777777" w:rsidR="00821181" w:rsidRPr="00821181" w:rsidRDefault="00821181" w:rsidP="006C401B">
            <w:pPr>
              <w:pStyle w:val="TableBlock"/>
            </w:pPr>
            <w:r w:rsidRPr="00821181">
              <w:rPr>
                <w:rFonts w:hint="cs"/>
                <w:rtl/>
              </w:rPr>
              <w:t>"(4)</w:t>
            </w:r>
            <w:r w:rsidRPr="00821181">
              <w:rPr>
                <w:rtl/>
              </w:rPr>
              <w:tab/>
            </w:r>
            <w:r w:rsidRPr="00821181">
              <w:rPr>
                <w:rFonts w:hint="cs"/>
                <w:rtl/>
              </w:rPr>
              <w:t xml:space="preserve">ימים שבהם זכאי עובד לתגמול לפי חוק הגנה על עובד הנעדר מעבודתו עקב התפשטות נגיף הקורונה, </w:t>
            </w:r>
            <w:proofErr w:type="spellStart"/>
            <w:r w:rsidRPr="00821181">
              <w:rPr>
                <w:rFonts w:hint="cs"/>
                <w:rtl/>
              </w:rPr>
              <w:t>התש"ף</w:t>
            </w:r>
            <w:proofErr w:type="spellEnd"/>
            <w:r w:rsidRPr="00821181">
              <w:rPr>
                <w:rFonts w:hint="eastAsia"/>
                <w:rtl/>
              </w:rPr>
              <w:t>–</w:t>
            </w:r>
            <w:r w:rsidRPr="00821181">
              <w:rPr>
                <w:rFonts w:hint="cs"/>
                <w:rtl/>
              </w:rPr>
              <w:t>2020".</w:t>
            </w:r>
          </w:p>
        </w:tc>
      </w:tr>
      <w:tr w:rsidR="00821181" w:rsidRPr="00821181" w14:paraId="7ECE1711" w14:textId="77777777" w:rsidTr="006C401B">
        <w:trPr>
          <w:cantSplit/>
          <w:trHeight w:val="60"/>
        </w:trPr>
        <w:tc>
          <w:tcPr>
            <w:tcW w:w="1871" w:type="dxa"/>
          </w:tcPr>
          <w:p w14:paraId="5382DA94" w14:textId="77777777" w:rsidR="00821181" w:rsidRPr="00821181" w:rsidRDefault="00821181" w:rsidP="006C401B">
            <w:pPr>
              <w:pStyle w:val="TableSideHeading"/>
            </w:pPr>
            <w:r w:rsidRPr="00821181">
              <w:rPr>
                <w:rFonts w:hint="cs"/>
                <w:rtl/>
              </w:rPr>
              <w:t>תחולה</w:t>
            </w:r>
          </w:p>
        </w:tc>
        <w:tc>
          <w:tcPr>
            <w:tcW w:w="624" w:type="dxa"/>
          </w:tcPr>
          <w:p w14:paraId="5E08534E" w14:textId="77777777" w:rsidR="00821181" w:rsidRPr="00821181" w:rsidRDefault="00821181" w:rsidP="006C401B">
            <w:pPr>
              <w:pStyle w:val="TableText"/>
            </w:pPr>
            <w:r w:rsidRPr="00821181">
              <w:rPr>
                <w:rFonts w:hint="cs"/>
                <w:rtl/>
              </w:rPr>
              <w:t>10.</w:t>
            </w:r>
          </w:p>
        </w:tc>
        <w:tc>
          <w:tcPr>
            <w:tcW w:w="7146" w:type="dxa"/>
            <w:gridSpan w:val="2"/>
          </w:tcPr>
          <w:p w14:paraId="0070B4A0" w14:textId="77777777" w:rsidR="00821181" w:rsidRPr="00821181" w:rsidRDefault="00821181" w:rsidP="006C401B">
            <w:pPr>
              <w:pStyle w:val="TableBlock"/>
              <w:rPr>
                <w:rtl/>
              </w:rPr>
            </w:pPr>
            <w:r w:rsidRPr="00821181">
              <w:rPr>
                <w:rFonts w:hint="cs"/>
                <w:rtl/>
              </w:rPr>
              <w:t xml:space="preserve">הוראות חוק זה, למעט הוראות סעיף 6, יחולו גם לגבי עובד שנעדר מעבודתו בתקופה שהחל מיום </w:t>
            </w:r>
            <w:r w:rsidRPr="00821181">
              <w:rPr>
                <w:rtl/>
              </w:rPr>
              <w:t xml:space="preserve">ה' באדר </w:t>
            </w:r>
            <w:proofErr w:type="spellStart"/>
            <w:r w:rsidRPr="00821181">
              <w:rPr>
                <w:rtl/>
              </w:rPr>
              <w:t>התש"ף</w:t>
            </w:r>
            <w:proofErr w:type="spellEnd"/>
            <w:r w:rsidRPr="00821181">
              <w:rPr>
                <w:rtl/>
              </w:rPr>
              <w:t xml:space="preserve"> (1 במארס 2020)</w:t>
            </w:r>
            <w:r w:rsidRPr="00821181">
              <w:rPr>
                <w:rFonts w:hint="cs"/>
                <w:rtl/>
              </w:rPr>
              <w:t xml:space="preserve"> ועד יום תחילתו של חוק זה.</w:t>
            </w:r>
          </w:p>
        </w:tc>
      </w:tr>
    </w:tbl>
    <w:p w14:paraId="4357E92D" w14:textId="77777777" w:rsidR="00821181" w:rsidRPr="00821181" w:rsidRDefault="00821181" w:rsidP="00821181">
      <w:pPr>
        <w:pStyle w:val="HeadDivreiHesber"/>
        <w:rPr>
          <w:rtl/>
        </w:rPr>
      </w:pPr>
      <w:r w:rsidRPr="00821181">
        <w:rPr>
          <w:rFonts w:hint="cs"/>
          <w:rtl/>
        </w:rPr>
        <w:t>דברי הסבר</w:t>
      </w:r>
    </w:p>
    <w:p w14:paraId="1E994E6C" w14:textId="77777777" w:rsidR="00821181" w:rsidRPr="00821181" w:rsidRDefault="00821181" w:rsidP="00821181">
      <w:pPr>
        <w:pStyle w:val="Hesber"/>
        <w:rPr>
          <w:rtl/>
        </w:rPr>
      </w:pPr>
      <w:r w:rsidRPr="00821181">
        <w:rPr>
          <w:rFonts w:hint="cs"/>
          <w:rtl/>
        </w:rPr>
        <w:t>מטרת הצעת החוק היא להעניק מענה דחוף לעובדים רבים שנעדרים מעבודתם עקב התפשטות נגיף הקורונה, ובראשם לעובדים הנשלחים לבידוד בשל מפגש עם חולה קורונה מאומת, מכוח צו בריאות העם.</w:t>
      </w:r>
    </w:p>
    <w:p w14:paraId="7A624E5C" w14:textId="77777777" w:rsidR="00821181" w:rsidRPr="00821181" w:rsidRDefault="00821181" w:rsidP="00821181">
      <w:pPr>
        <w:pStyle w:val="Hesber"/>
        <w:rPr>
          <w:rtl/>
        </w:rPr>
      </w:pPr>
      <w:r w:rsidRPr="00821181">
        <w:rPr>
          <w:rFonts w:hint="cs"/>
          <w:rtl/>
        </w:rPr>
        <w:t>בתקופה זו שבה נגיף הקורונה מחולל נזקים אדירים בכל העולם מבחינה אנושית, כלכלית וחברתית, העולם כולו, ובתוכו מדינת ישראל, כמעט עצרו מלכת. כלכלות מתמוטטות, עסקים וחברות קורסים, ואנשים מאבדים את פרנסתם.</w:t>
      </w:r>
    </w:p>
    <w:p w14:paraId="28652A6A" w14:textId="77777777" w:rsidR="00821181" w:rsidRPr="00821181" w:rsidRDefault="00821181" w:rsidP="00821181">
      <w:pPr>
        <w:pStyle w:val="Hesber"/>
        <w:rPr>
          <w:rtl/>
        </w:rPr>
      </w:pPr>
      <w:r w:rsidRPr="00821181">
        <w:rPr>
          <w:rFonts w:hint="cs"/>
          <w:rtl/>
        </w:rPr>
        <w:t xml:space="preserve">כחלק מהמאבק בנגיף הקורונה ובשל הרצון והצורך למנוע את התפשטותו והעברתו בין בני-אדם, חתם שר הבריאות על צו המחייב בידוד לכל מי שנחשף לחולה מאומת. בנוסף, החליטה הממשלה באישור ועדת החוץ והביטחון של הכנסת, לעשות שימוש באיכוני השב"כ, לסייע באיתור  אלו ששהו ליד חולה מאומת. כתוצאה מכך, נכנסו בישראל מאות אלפי אנשים לבידוד, חלקם שלא לצורך ובשל טעויות </w:t>
      </w:r>
      <w:r w:rsidRPr="00821181">
        <w:rPr>
          <w:rFonts w:hint="cs"/>
          <w:rtl/>
        </w:rPr>
        <w:lastRenderedPageBreak/>
        <w:t>באיכון.</w:t>
      </w:r>
    </w:p>
    <w:p w14:paraId="4C18FC40" w14:textId="77777777" w:rsidR="00821181" w:rsidRPr="00821181" w:rsidRDefault="00821181" w:rsidP="00821181">
      <w:pPr>
        <w:pStyle w:val="Hesber"/>
        <w:rPr>
          <w:rtl/>
        </w:rPr>
      </w:pPr>
      <w:r w:rsidRPr="00821181">
        <w:rPr>
          <w:rFonts w:hint="cs"/>
          <w:rtl/>
        </w:rPr>
        <w:t xml:space="preserve">הצעת חוק זו נוגעת רק למי מבין המבודדים שהם עובדים שנשארו במעגל העבודה, בין השאר אלה שהמעסיקים שלהם עושים כל מאמץ להמשיך את פעילות העסק ואת העסקת העובדים. </w:t>
      </w:r>
    </w:p>
    <w:p w14:paraId="7591F19F" w14:textId="77777777" w:rsidR="00821181" w:rsidRPr="00821181" w:rsidRDefault="00821181" w:rsidP="00821181">
      <w:pPr>
        <w:pStyle w:val="Hesber"/>
        <w:rPr>
          <w:rtl/>
        </w:rPr>
      </w:pPr>
      <w:r w:rsidRPr="00821181">
        <w:rPr>
          <w:rFonts w:hint="cs"/>
          <w:rtl/>
        </w:rPr>
        <w:t>מצב העסקים בישראל בכי רע: רבים מהם פשטו רגל או סגרו את העסק באופן זמני, והשאר מתמודדים עם המשבר בקושי רב.</w:t>
      </w:r>
    </w:p>
    <w:p w14:paraId="7AEF60D0" w14:textId="77777777" w:rsidR="00821181" w:rsidRPr="00821181" w:rsidRDefault="00821181" w:rsidP="00821181">
      <w:pPr>
        <w:pStyle w:val="Hesber"/>
        <w:rPr>
          <w:rtl/>
        </w:rPr>
      </w:pPr>
      <w:r w:rsidRPr="00821181">
        <w:rPr>
          <w:rFonts w:hint="cs"/>
          <w:rtl/>
        </w:rPr>
        <w:t>ואולם, קשיי המשבר לא פסחו גם על עובדים רבים אשר נכפתה עליהם היעדרות מהעבודה. במקומות עבודה רבים נשלחו מספר עובדים לבידוד, ולפעמים כולם. יתרה מכך, במקרים רבים נשלח אותו עובד עצמו לבידוד יותר מפעם אחת.</w:t>
      </w:r>
    </w:p>
    <w:p w14:paraId="4C61F5BC" w14:textId="77777777" w:rsidR="00821181" w:rsidRPr="00821181" w:rsidRDefault="00821181" w:rsidP="00821181">
      <w:pPr>
        <w:pStyle w:val="Hesber"/>
        <w:rPr>
          <w:rtl/>
        </w:rPr>
      </w:pPr>
      <w:r w:rsidRPr="00821181">
        <w:rPr>
          <w:rFonts w:hint="cs"/>
          <w:rtl/>
        </w:rPr>
        <w:t>במצב שכזה, לא ראוי ולא ניתן להשית הוצאה נוספת, לפעמים רחבת היקף, של תשלום דמי מחלה בשל ימי הבידוד, על גבם השחוח והמוכה גם כך של המעסיקים. נוסף על כן, אין זה מן הראוי שימי הבידוד יופחתו מסך ימי המחלה העומדים לזכותו של העובד, שכן  עליו לשמור ימים אלו לעת חולי. כמו כן, במקרים רבים ימי המחלה של העובד כבר נוצלו עד תום, ואין לו עוד זכאות לקבלת תשלום בעד ימי הבידוד שנכפו עליו.</w:t>
      </w:r>
    </w:p>
    <w:p w14:paraId="651D15F8" w14:textId="77777777" w:rsidR="00821181" w:rsidRPr="00821181" w:rsidRDefault="00821181" w:rsidP="00821181">
      <w:pPr>
        <w:pStyle w:val="Hesber"/>
        <w:rPr>
          <w:rtl/>
        </w:rPr>
      </w:pPr>
      <w:r w:rsidRPr="00821181">
        <w:rPr>
          <w:rFonts w:hint="cs"/>
          <w:rtl/>
        </w:rPr>
        <w:t>הצעת החוק  נועדה, על כן, לתקן את המצב הקיים לפיו ימי הבידוד משולמים על חשבון ימי המחלה של העובד ובמימון המעסיק, ולאפשר תשלום תגמול מאוצר המדינה באמצעות המוסד לביטוח לאומי בעד ימים שבהם נעדר העובד מעבודתו בשל חובת הבידוד. המוסד לביטוח לאומי הוכיח את יכולת הביצוע המידית שלו בהעברת תשלומים ומענקי קורונה ויש לו כלים המתאימים לביצוע הוראות חוק זה. ימים אלה לא יבואו על חשבון ימי המחלה הצבורים של העובד.</w:t>
      </w:r>
    </w:p>
    <w:p w14:paraId="27E0C1C8" w14:textId="77777777" w:rsidR="00821181" w:rsidRPr="00821181" w:rsidRDefault="00821181" w:rsidP="00821181">
      <w:pPr>
        <w:pStyle w:val="Hesber"/>
        <w:rPr>
          <w:rtl/>
        </w:rPr>
      </w:pPr>
      <w:r w:rsidRPr="00821181">
        <w:rPr>
          <w:rFonts w:hint="cs"/>
          <w:rtl/>
        </w:rPr>
        <w:t xml:space="preserve">מוצע כי תגמול כאמור ישולם גם לעובד שעקב התפשטות נגיף הקורונה נעדר מעבודתו ואינו יכול לבצע את עבודתו או עבודה מתאימה אחרת, אף לא בדרך של עבודה מרחוק, בין אם משום שהוטל סגר או הגבלה אחרת שמונעות את הגעתו למקום העבודה או שמחייבות אותו לשמור על ילדו בשל סגירת מוסדות החינוך עקב נגיף הקורונה. </w:t>
      </w:r>
    </w:p>
    <w:p w14:paraId="7476E4B4" w14:textId="77777777" w:rsidR="00821181" w:rsidRPr="00821181" w:rsidRDefault="00821181" w:rsidP="00821181">
      <w:pPr>
        <w:pStyle w:val="Hesber"/>
        <w:rPr>
          <w:rtl/>
        </w:rPr>
      </w:pPr>
      <w:r w:rsidRPr="00821181">
        <w:rPr>
          <w:rFonts w:hint="cs"/>
          <w:rtl/>
        </w:rPr>
        <w:t>עובד כאמור או עובד בבידוד שיכולים לבצע עבודה מרחוק וממשיכים לעבוד, לא יהיו זכאים לתגמול, שכן הם זכאים לשכר.</w:t>
      </w:r>
    </w:p>
    <w:p w14:paraId="1030BF6F" w14:textId="77777777" w:rsidR="00821181" w:rsidRDefault="00821181" w:rsidP="00821181">
      <w:pPr>
        <w:pStyle w:val="Hesber"/>
        <w:rPr>
          <w:rtl/>
        </w:rPr>
      </w:pPr>
      <w:r w:rsidRPr="00821181">
        <w:rPr>
          <w:rFonts w:hint="cs"/>
          <w:rtl/>
        </w:rPr>
        <w:t>כמו כן  מוצע לאסור על פיטורי עובד שנמצא בבידוד או עובד נעדר מעבודתו בשל ההגבלות כאמור לעיל, ומוצע לקבוע כי המועדים שבהם נעדרו עובדים אלה מעבודתם לא יפגעו בצבירת זכויות של העובדים התלויות בוותק, ואף לא יפגעו בצבירת תקופת אכשרה לעניין הזכאות לדמי אבטלה. מוצע כי ההוראות לעניין תגמול ולעניין שמירת זכויות העובדים יחולו מתחילת התפשטות נגיף הקורונה בישראל.</w:t>
      </w:r>
      <w:r>
        <w:rPr>
          <w:rFonts w:hint="cs"/>
          <w:rtl/>
        </w:rPr>
        <w:t xml:space="preserve"> </w:t>
      </w:r>
    </w:p>
    <w:p w14:paraId="54371068" w14:textId="77777777" w:rsidR="000912F0" w:rsidRDefault="000912F0" w:rsidP="00821181">
      <w:pPr>
        <w:pStyle w:val="Hesber"/>
        <w:rPr>
          <w:rtl/>
        </w:rPr>
      </w:pPr>
    </w:p>
    <w:p w14:paraId="5F7D3A4C" w14:textId="77777777" w:rsidR="000912F0" w:rsidRDefault="000912F0" w:rsidP="00821181">
      <w:pPr>
        <w:pStyle w:val="Hesber"/>
        <w:rPr>
          <w:rtl/>
        </w:rPr>
      </w:pPr>
    </w:p>
    <w:p w14:paraId="3E367FCD" w14:textId="77777777" w:rsidR="000912F0" w:rsidRPr="00D73212" w:rsidRDefault="000912F0" w:rsidP="000912F0">
      <w:pPr>
        <w:pStyle w:val="Hesber"/>
        <w:rPr>
          <w:color w:val="auto"/>
          <w:rtl/>
          <w:lang w:eastAsia="en-US"/>
        </w:rPr>
      </w:pPr>
      <w:r w:rsidRPr="00D73212">
        <w:rPr>
          <w:color w:val="auto"/>
          <w:rtl/>
          <w:lang w:eastAsia="en-US"/>
        </w:rPr>
        <w:t>---------------------------------</w:t>
      </w:r>
    </w:p>
    <w:p w14:paraId="4BD1BE01" w14:textId="77777777" w:rsidR="000912F0" w:rsidRPr="00D73212" w:rsidRDefault="000912F0" w:rsidP="000912F0">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87300BB" w14:textId="77777777" w:rsidR="000912F0" w:rsidRPr="00D73212" w:rsidRDefault="000912F0" w:rsidP="000912F0">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EEFF400" w14:textId="77777777" w:rsidR="000912F0" w:rsidRPr="00317312" w:rsidRDefault="000912F0" w:rsidP="000912F0">
      <w:pPr>
        <w:pStyle w:val="Hesber"/>
      </w:pPr>
      <w:r>
        <w:rPr>
          <w:rFonts w:hint="cs"/>
          <w:color w:val="auto"/>
          <w:rtl/>
          <w:lang w:eastAsia="en-US"/>
        </w:rPr>
        <w:t>ו' באב</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27.7</w:t>
      </w:r>
      <w:r w:rsidRPr="00D73212">
        <w:rPr>
          <w:color w:val="auto"/>
          <w:rtl/>
          <w:lang w:eastAsia="en-US"/>
        </w:rPr>
        <w:t>.</w:t>
      </w:r>
      <w:r>
        <w:rPr>
          <w:rFonts w:hint="cs"/>
          <w:color w:val="auto"/>
          <w:rtl/>
          <w:lang w:eastAsia="en-US"/>
        </w:rPr>
        <w:t xml:space="preserve">20  </w:t>
      </w:r>
    </w:p>
    <w:p w14:paraId="6232719D" w14:textId="77777777" w:rsidR="000912F0" w:rsidRDefault="000912F0" w:rsidP="00821181">
      <w:pPr>
        <w:pStyle w:val="Hesber"/>
        <w:rPr>
          <w:rtl/>
        </w:rPr>
      </w:pPr>
    </w:p>
    <w:p w14:paraId="392CCA7C" w14:textId="77777777" w:rsidR="00821181" w:rsidRDefault="00821181" w:rsidP="00821181">
      <w:pPr>
        <w:pStyle w:val="Hesber"/>
        <w:rPr>
          <w:rtl/>
        </w:rPr>
      </w:pPr>
    </w:p>
    <w:p w14:paraId="0660C3A1" w14:textId="77777777" w:rsidR="00821181" w:rsidRDefault="00821181" w:rsidP="00821181">
      <w:pPr>
        <w:pStyle w:val="Hesber"/>
        <w:ind w:left="700" w:firstLine="0"/>
        <w:rPr>
          <w:rtl/>
        </w:rPr>
      </w:pPr>
      <w:bookmarkStart w:id="8" w:name="_GoBack"/>
      <w:bookmarkEnd w:id="8"/>
    </w:p>
    <w:sectPr w:rsidR="0082118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9C4F5A8"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D2E95">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93D9D07" w14:textId="77777777" w:rsidR="00821181" w:rsidRDefault="00821181" w:rsidP="00821181">
      <w:pPr>
        <w:pStyle w:val="a4"/>
        <w:rPr>
          <w:rtl/>
        </w:rPr>
      </w:pPr>
      <w:r>
        <w:rPr>
          <w:rStyle w:val="a6"/>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התש"ף</w:t>
      </w:r>
      <w:proofErr w:type="spellEnd"/>
      <w:r>
        <w:rPr>
          <w:rFonts w:hint="cs"/>
          <w:rtl/>
        </w:rPr>
        <w:t>, עמ' 516.</w:t>
      </w:r>
    </w:p>
  </w:footnote>
  <w:footnote w:id="3">
    <w:p w14:paraId="5BBDEF75" w14:textId="77777777" w:rsidR="00821181" w:rsidRDefault="00821181" w:rsidP="00821181">
      <w:pPr>
        <w:pStyle w:val="a4"/>
        <w:rPr>
          <w:rtl/>
        </w:rPr>
      </w:pPr>
      <w:r>
        <w:rPr>
          <w:rStyle w:val="a6"/>
        </w:rPr>
        <w:footnoteRef/>
      </w:r>
      <w:r>
        <w:rPr>
          <w:rtl/>
        </w:rPr>
        <w:t xml:space="preserve"> </w:t>
      </w:r>
      <w:r>
        <w:rPr>
          <w:rFonts w:hint="cs"/>
          <w:rtl/>
        </w:rPr>
        <w:t xml:space="preserve">ס"ח </w:t>
      </w:r>
      <w:proofErr w:type="spellStart"/>
      <w:r>
        <w:rPr>
          <w:rFonts w:hint="cs"/>
          <w:rtl/>
        </w:rPr>
        <w:t>התשמ"ח</w:t>
      </w:r>
      <w:proofErr w:type="spellEnd"/>
      <w:r>
        <w:rPr>
          <w:rFonts w:hint="cs"/>
          <w:rtl/>
        </w:rPr>
        <w:t>, עמ' 114.</w:t>
      </w:r>
    </w:p>
  </w:footnote>
  <w:footnote w:id="4">
    <w:p w14:paraId="20983425" w14:textId="77777777" w:rsidR="00821181" w:rsidRDefault="00821181" w:rsidP="00821181">
      <w:pPr>
        <w:pStyle w:val="a4"/>
        <w:rPr>
          <w:rtl/>
        </w:rPr>
      </w:pPr>
      <w:r>
        <w:rPr>
          <w:rStyle w:val="a6"/>
        </w:rPr>
        <w:footnoteRef/>
      </w:r>
      <w:r>
        <w:rPr>
          <w:rtl/>
        </w:rPr>
        <w:t xml:space="preserve"> </w:t>
      </w:r>
      <w:r>
        <w:rPr>
          <w:rFonts w:hint="cs"/>
          <w:rtl/>
        </w:rPr>
        <w:t xml:space="preserve">ס"ח </w:t>
      </w:r>
      <w:proofErr w:type="spellStart"/>
      <w:r>
        <w:rPr>
          <w:rFonts w:hint="cs"/>
          <w:rtl/>
        </w:rPr>
        <w:t>התשס"א</w:t>
      </w:r>
      <w:proofErr w:type="spellEnd"/>
      <w:r>
        <w:rPr>
          <w:rFonts w:hint="cs"/>
          <w:rtl/>
        </w:rPr>
        <w:t>, עמ' 378.</w:t>
      </w:r>
    </w:p>
  </w:footnote>
  <w:footnote w:id="5">
    <w:p w14:paraId="0A1544B7" w14:textId="77777777" w:rsidR="00821181" w:rsidRDefault="00821181" w:rsidP="00821181">
      <w:pPr>
        <w:pStyle w:val="a4"/>
        <w:rPr>
          <w:rtl/>
        </w:rPr>
      </w:pPr>
      <w:r>
        <w:rPr>
          <w:rStyle w:val="a6"/>
        </w:rPr>
        <w:footnoteRef/>
      </w:r>
      <w:r>
        <w:rPr>
          <w:rtl/>
        </w:rPr>
        <w:t xml:space="preserve"> </w:t>
      </w:r>
      <w:r>
        <w:rPr>
          <w:rFonts w:hint="cs"/>
          <w:rtl/>
        </w:rPr>
        <w:t xml:space="preserve">ס"ח </w:t>
      </w:r>
      <w:proofErr w:type="spellStart"/>
      <w:r>
        <w:rPr>
          <w:rFonts w:hint="cs"/>
          <w:rtl/>
        </w:rPr>
        <w:t>התשע"ח</w:t>
      </w:r>
      <w:proofErr w:type="spellEnd"/>
      <w:r>
        <w:rPr>
          <w:rFonts w:hint="cs"/>
          <w:rtl/>
        </w:rPr>
        <w:t>, עמ' 310.</w:t>
      </w:r>
    </w:p>
  </w:footnote>
  <w:footnote w:id="6">
    <w:p w14:paraId="6CF9C8B7" w14:textId="77777777" w:rsidR="00821181" w:rsidRDefault="00821181" w:rsidP="00821181">
      <w:pPr>
        <w:pStyle w:val="a4"/>
        <w:rPr>
          <w:rtl/>
        </w:rPr>
      </w:pPr>
      <w:r>
        <w:rPr>
          <w:rStyle w:val="a6"/>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2950"/>
    <w:multiLevelType w:val="hybridMultilevel"/>
    <w:tmpl w:val="4ABEEBFC"/>
    <w:lvl w:ilvl="0" w:tplc="15967D6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06A16"/>
    <w:multiLevelType w:val="hybridMultilevel"/>
    <w:tmpl w:val="3FD8CC9E"/>
    <w:lvl w:ilvl="0" w:tplc="6554BB6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B50926"/>
    <w:multiLevelType w:val="hybridMultilevel"/>
    <w:tmpl w:val="3F029FF0"/>
    <w:lvl w:ilvl="0" w:tplc="BB007F8E">
      <w:start w:val="1"/>
      <w:numFmt w:val="hebrew1"/>
      <w:lvlRestart w:val="0"/>
      <w:lvlText w:val="(%1)"/>
      <w:lvlJc w:val="left"/>
      <w:pPr>
        <w:tabs>
          <w:tab w:val="num" w:pos="984"/>
        </w:tabs>
        <w:ind w:left="360" w:firstLine="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3B77B3"/>
    <w:multiLevelType w:val="hybridMultilevel"/>
    <w:tmpl w:val="CFBE341C"/>
    <w:lvl w:ilvl="0" w:tplc="294CCFD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05BA4"/>
    <w:multiLevelType w:val="hybridMultilevel"/>
    <w:tmpl w:val="BB26135C"/>
    <w:lvl w:ilvl="0" w:tplc="7E88B6D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4A2259"/>
    <w:multiLevelType w:val="hybridMultilevel"/>
    <w:tmpl w:val="C4906C6A"/>
    <w:lvl w:ilvl="0" w:tplc="1370ED8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0A583F"/>
    <w:multiLevelType w:val="hybridMultilevel"/>
    <w:tmpl w:val="80F4963E"/>
    <w:lvl w:ilvl="0" w:tplc="EBAA6D9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851F3F"/>
    <w:multiLevelType w:val="hybridMultilevel"/>
    <w:tmpl w:val="B7ACF826"/>
    <w:lvl w:ilvl="0" w:tplc="3EE8AE1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AA7B7C"/>
    <w:multiLevelType w:val="hybridMultilevel"/>
    <w:tmpl w:val="102241BA"/>
    <w:lvl w:ilvl="0" w:tplc="0FCE96DC">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943E63"/>
    <w:multiLevelType w:val="hybridMultilevel"/>
    <w:tmpl w:val="53264B96"/>
    <w:lvl w:ilvl="0" w:tplc="43C0B23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3A7B5F"/>
    <w:multiLevelType w:val="hybridMultilevel"/>
    <w:tmpl w:val="7C60CF4A"/>
    <w:lvl w:ilvl="0" w:tplc="4726F78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3A59E3"/>
    <w:multiLevelType w:val="hybridMultilevel"/>
    <w:tmpl w:val="B9A213D6"/>
    <w:lvl w:ilvl="0" w:tplc="92C04B1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660B17"/>
    <w:multiLevelType w:val="hybridMultilevel"/>
    <w:tmpl w:val="131C74FE"/>
    <w:lvl w:ilvl="0" w:tplc="DC540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D5DC3"/>
    <w:multiLevelType w:val="hybridMultilevel"/>
    <w:tmpl w:val="F7007118"/>
    <w:lvl w:ilvl="0" w:tplc="AD8A3A5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15:restartNumberingAfterBreak="0">
    <w:nsid w:val="3C6541BE"/>
    <w:multiLevelType w:val="hybridMultilevel"/>
    <w:tmpl w:val="B9A213D6"/>
    <w:lvl w:ilvl="0" w:tplc="92C04B1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931B5"/>
    <w:multiLevelType w:val="hybridMultilevel"/>
    <w:tmpl w:val="7E1C55CA"/>
    <w:lvl w:ilvl="0" w:tplc="AD90E5B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66FEE"/>
    <w:multiLevelType w:val="hybridMultilevel"/>
    <w:tmpl w:val="7E1C55CA"/>
    <w:lvl w:ilvl="0" w:tplc="AD90E5B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F7033"/>
    <w:multiLevelType w:val="hybridMultilevel"/>
    <w:tmpl w:val="4FAAB488"/>
    <w:lvl w:ilvl="0" w:tplc="207E06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1614B5"/>
    <w:multiLevelType w:val="hybridMultilevel"/>
    <w:tmpl w:val="3E163D84"/>
    <w:lvl w:ilvl="0" w:tplc="662ACD3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F2E85"/>
    <w:multiLevelType w:val="hybridMultilevel"/>
    <w:tmpl w:val="B6BE4B58"/>
    <w:lvl w:ilvl="0" w:tplc="69F07562">
      <w:start w:val="3"/>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96CCA"/>
    <w:multiLevelType w:val="hybridMultilevel"/>
    <w:tmpl w:val="99282BBA"/>
    <w:lvl w:ilvl="0" w:tplc="E74603A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26071"/>
    <w:multiLevelType w:val="hybridMultilevel"/>
    <w:tmpl w:val="3440CA7E"/>
    <w:lvl w:ilvl="0" w:tplc="A4060846">
      <w:start w:val="6"/>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131C4"/>
    <w:multiLevelType w:val="hybridMultilevel"/>
    <w:tmpl w:val="82DCA934"/>
    <w:lvl w:ilvl="0" w:tplc="3D3EFA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B084A"/>
    <w:multiLevelType w:val="hybridMultilevel"/>
    <w:tmpl w:val="C9206ACE"/>
    <w:lvl w:ilvl="0" w:tplc="3F9CB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3C544D"/>
    <w:multiLevelType w:val="hybridMultilevel"/>
    <w:tmpl w:val="07720BC0"/>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B06C2B"/>
    <w:multiLevelType w:val="hybridMultilevel"/>
    <w:tmpl w:val="1A28FAD2"/>
    <w:lvl w:ilvl="0" w:tplc="CAA8302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36"/>
  </w:num>
  <w:num w:numId="13">
    <w:abstractNumId w:val="17"/>
  </w:num>
  <w:num w:numId="14">
    <w:abstractNumId w:val="37"/>
  </w:num>
  <w:num w:numId="15">
    <w:abstractNumId w:val="34"/>
  </w:num>
  <w:num w:numId="16">
    <w:abstractNumId w:val="18"/>
  </w:num>
  <w:num w:numId="17">
    <w:abstractNumId w:val="29"/>
  </w:num>
  <w:num w:numId="18">
    <w:abstractNumId w:val="28"/>
  </w:num>
  <w:num w:numId="19">
    <w:abstractNumId w:val="38"/>
  </w:num>
  <w:num w:numId="20">
    <w:abstractNumId w:val="15"/>
  </w:num>
  <w:num w:numId="21">
    <w:abstractNumId w:val="11"/>
  </w:num>
  <w:num w:numId="22">
    <w:abstractNumId w:val="12"/>
  </w:num>
  <w:num w:numId="23">
    <w:abstractNumId w:val="31"/>
  </w:num>
  <w:num w:numId="24">
    <w:abstractNumId w:val="32"/>
  </w:num>
  <w:num w:numId="25">
    <w:abstractNumId w:val="26"/>
  </w:num>
  <w:num w:numId="26">
    <w:abstractNumId w:val="23"/>
  </w:num>
  <w:num w:numId="27">
    <w:abstractNumId w:val="35"/>
  </w:num>
  <w:num w:numId="28">
    <w:abstractNumId w:val="16"/>
  </w:num>
  <w:num w:numId="29">
    <w:abstractNumId w:val="33"/>
  </w:num>
  <w:num w:numId="30">
    <w:abstractNumId w:val="27"/>
  </w:num>
  <w:num w:numId="31">
    <w:abstractNumId w:val="22"/>
  </w:num>
  <w:num w:numId="32">
    <w:abstractNumId w:val="10"/>
  </w:num>
  <w:num w:numId="33">
    <w:abstractNumId w:val="30"/>
  </w:num>
  <w:num w:numId="34">
    <w:abstractNumId w:val="14"/>
  </w:num>
  <w:num w:numId="35">
    <w:abstractNumId w:val="24"/>
  </w:num>
  <w:num w:numId="36">
    <w:abstractNumId w:val="21"/>
  </w:num>
  <w:num w:numId="37">
    <w:abstractNumId w:val="19"/>
  </w:num>
  <w:num w:numId="38">
    <w:abstractNumId w:val="1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40D6"/>
    <w:rsid w:val="00051BF2"/>
    <w:rsid w:val="00063A3E"/>
    <w:rsid w:val="00072CAC"/>
    <w:rsid w:val="0007681A"/>
    <w:rsid w:val="000912F0"/>
    <w:rsid w:val="000A542E"/>
    <w:rsid w:val="000E6B22"/>
    <w:rsid w:val="00102B6B"/>
    <w:rsid w:val="001043B8"/>
    <w:rsid w:val="001052D4"/>
    <w:rsid w:val="0010644B"/>
    <w:rsid w:val="00112B43"/>
    <w:rsid w:val="001207F8"/>
    <w:rsid w:val="00121924"/>
    <w:rsid w:val="001279A8"/>
    <w:rsid w:val="0014195F"/>
    <w:rsid w:val="00152609"/>
    <w:rsid w:val="00153E1B"/>
    <w:rsid w:val="001569C0"/>
    <w:rsid w:val="001A0623"/>
    <w:rsid w:val="001C23B0"/>
    <w:rsid w:val="001D7AAF"/>
    <w:rsid w:val="00203A7F"/>
    <w:rsid w:val="0021633A"/>
    <w:rsid w:val="002200A1"/>
    <w:rsid w:val="002362BF"/>
    <w:rsid w:val="00241B97"/>
    <w:rsid w:val="002425D1"/>
    <w:rsid w:val="00246756"/>
    <w:rsid w:val="00251E58"/>
    <w:rsid w:val="00254605"/>
    <w:rsid w:val="0026621D"/>
    <w:rsid w:val="00266D86"/>
    <w:rsid w:val="002728B4"/>
    <w:rsid w:val="0027600C"/>
    <w:rsid w:val="00292712"/>
    <w:rsid w:val="002A487D"/>
    <w:rsid w:val="002C2E29"/>
    <w:rsid w:val="002C3041"/>
    <w:rsid w:val="002D1EE3"/>
    <w:rsid w:val="002F1D80"/>
    <w:rsid w:val="003232A2"/>
    <w:rsid w:val="00325C14"/>
    <w:rsid w:val="0036422C"/>
    <w:rsid w:val="003710F6"/>
    <w:rsid w:val="003843C1"/>
    <w:rsid w:val="00386E88"/>
    <w:rsid w:val="00387BEB"/>
    <w:rsid w:val="00396585"/>
    <w:rsid w:val="003D4C95"/>
    <w:rsid w:val="003D6E38"/>
    <w:rsid w:val="003D74A0"/>
    <w:rsid w:val="004033D8"/>
    <w:rsid w:val="004073F0"/>
    <w:rsid w:val="00412662"/>
    <w:rsid w:val="00412A7D"/>
    <w:rsid w:val="00415B33"/>
    <w:rsid w:val="00416B4D"/>
    <w:rsid w:val="00417CFC"/>
    <w:rsid w:val="004811FD"/>
    <w:rsid w:val="004A06DC"/>
    <w:rsid w:val="004B24E7"/>
    <w:rsid w:val="004B24ED"/>
    <w:rsid w:val="004B6625"/>
    <w:rsid w:val="004D2D82"/>
    <w:rsid w:val="004D3876"/>
    <w:rsid w:val="004E4552"/>
    <w:rsid w:val="004E6CDF"/>
    <w:rsid w:val="005116A6"/>
    <w:rsid w:val="00512298"/>
    <w:rsid w:val="00544FDF"/>
    <w:rsid w:val="00553C9D"/>
    <w:rsid w:val="00562A66"/>
    <w:rsid w:val="005B064E"/>
    <w:rsid w:val="005D2E95"/>
    <w:rsid w:val="005D51AE"/>
    <w:rsid w:val="0062674B"/>
    <w:rsid w:val="006363B2"/>
    <w:rsid w:val="00644940"/>
    <w:rsid w:val="006818A9"/>
    <w:rsid w:val="0069308D"/>
    <w:rsid w:val="006A2D81"/>
    <w:rsid w:val="006C1D0D"/>
    <w:rsid w:val="0070601E"/>
    <w:rsid w:val="00712C72"/>
    <w:rsid w:val="00735FE9"/>
    <w:rsid w:val="0075200C"/>
    <w:rsid w:val="00763CAA"/>
    <w:rsid w:val="00765F66"/>
    <w:rsid w:val="00786025"/>
    <w:rsid w:val="0078664F"/>
    <w:rsid w:val="007A27CE"/>
    <w:rsid w:val="007C3FA6"/>
    <w:rsid w:val="007D585A"/>
    <w:rsid w:val="007D5A12"/>
    <w:rsid w:val="007E59F9"/>
    <w:rsid w:val="00810BCD"/>
    <w:rsid w:val="00812C98"/>
    <w:rsid w:val="00814D92"/>
    <w:rsid w:val="00821181"/>
    <w:rsid w:val="008216AD"/>
    <w:rsid w:val="0083181D"/>
    <w:rsid w:val="00843EB2"/>
    <w:rsid w:val="00865572"/>
    <w:rsid w:val="00874BBC"/>
    <w:rsid w:val="00892135"/>
    <w:rsid w:val="00895449"/>
    <w:rsid w:val="00897879"/>
    <w:rsid w:val="008A6870"/>
    <w:rsid w:val="008C2DDC"/>
    <w:rsid w:val="008C7516"/>
    <w:rsid w:val="008D3AB6"/>
    <w:rsid w:val="008E6EC7"/>
    <w:rsid w:val="008F0D63"/>
    <w:rsid w:val="008F1308"/>
    <w:rsid w:val="008F2C35"/>
    <w:rsid w:val="008F6665"/>
    <w:rsid w:val="00900C5F"/>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49DC"/>
    <w:rsid w:val="009D6E0A"/>
    <w:rsid w:val="009E1E33"/>
    <w:rsid w:val="00A1295B"/>
    <w:rsid w:val="00A14672"/>
    <w:rsid w:val="00A26BD6"/>
    <w:rsid w:val="00A443CF"/>
    <w:rsid w:val="00A6611D"/>
    <w:rsid w:val="00A82CB7"/>
    <w:rsid w:val="00A94171"/>
    <w:rsid w:val="00A942C1"/>
    <w:rsid w:val="00AA2F03"/>
    <w:rsid w:val="00AC36F7"/>
    <w:rsid w:val="00AC63A4"/>
    <w:rsid w:val="00AD239E"/>
    <w:rsid w:val="00B10265"/>
    <w:rsid w:val="00B16A99"/>
    <w:rsid w:val="00B21211"/>
    <w:rsid w:val="00B35784"/>
    <w:rsid w:val="00B51BD3"/>
    <w:rsid w:val="00B733A7"/>
    <w:rsid w:val="00B75C91"/>
    <w:rsid w:val="00B975AD"/>
    <w:rsid w:val="00BC45FB"/>
    <w:rsid w:val="00BF148D"/>
    <w:rsid w:val="00C23B1A"/>
    <w:rsid w:val="00C310EB"/>
    <w:rsid w:val="00C91533"/>
    <w:rsid w:val="00C9176A"/>
    <w:rsid w:val="00CD54CB"/>
    <w:rsid w:val="00CF1AA2"/>
    <w:rsid w:val="00D142D3"/>
    <w:rsid w:val="00D17774"/>
    <w:rsid w:val="00D45A76"/>
    <w:rsid w:val="00D63620"/>
    <w:rsid w:val="00D65C77"/>
    <w:rsid w:val="00D661C9"/>
    <w:rsid w:val="00D8410D"/>
    <w:rsid w:val="00D867D7"/>
    <w:rsid w:val="00DB7060"/>
    <w:rsid w:val="00DE3153"/>
    <w:rsid w:val="00E06736"/>
    <w:rsid w:val="00E13C27"/>
    <w:rsid w:val="00E158A5"/>
    <w:rsid w:val="00E33BBD"/>
    <w:rsid w:val="00E374F2"/>
    <w:rsid w:val="00E4090B"/>
    <w:rsid w:val="00E4446E"/>
    <w:rsid w:val="00E45103"/>
    <w:rsid w:val="00E55A60"/>
    <w:rsid w:val="00E62778"/>
    <w:rsid w:val="00E635A2"/>
    <w:rsid w:val="00E63D38"/>
    <w:rsid w:val="00E665B9"/>
    <w:rsid w:val="00E9124D"/>
    <w:rsid w:val="00EA01E6"/>
    <w:rsid w:val="00EA3DE8"/>
    <w:rsid w:val="00EA758F"/>
    <w:rsid w:val="00EB426E"/>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9537D47-4321-41A1-87AC-090D5330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paragraph" w:styleId="ae">
    <w:name w:val="Revision"/>
    <w:hidden/>
    <w:uiPriority w:val="99"/>
    <w:semiHidden/>
    <w:rsid w:val="00EB426E"/>
    <w:rPr>
      <w:rFonts w:ascii="Hadasa Roso SL" w:hAnsi="Hadasa Roso SL" w:cs="Hadasa Roso SL"/>
      <w:color w:val="000000"/>
      <w:spacing w:val="1"/>
      <w:sz w:val="17"/>
      <w:szCs w:val="17"/>
      <w:lang w:eastAsia="ja-JP"/>
    </w:rPr>
  </w:style>
  <w:style w:type="paragraph" w:customStyle="1" w:styleId="p00">
    <w:name w:val="p00"/>
    <w:basedOn w:val="a"/>
    <w:rsid w:val="00786025"/>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default">
    <w:name w:val="default"/>
    <w:basedOn w:val="a0"/>
    <w:rsid w:val="00786025"/>
  </w:style>
  <w:style w:type="paragraph" w:customStyle="1" w:styleId="p22">
    <w:name w:val="p22"/>
    <w:basedOn w:val="a"/>
    <w:rsid w:val="003843C1"/>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styleId="af">
    <w:name w:val="List Paragraph"/>
    <w:basedOn w:val="a"/>
    <w:uiPriority w:val="34"/>
    <w:qFormat/>
    <w:rsid w:val="00512298"/>
    <w:pPr>
      <w:ind w:left="720"/>
      <w:contextualSpacing/>
    </w:pPr>
  </w:style>
  <w:style w:type="character" w:customStyle="1" w:styleId="a5">
    <w:name w:val="טקסט הערת שוליים תו"/>
    <w:basedOn w:val="a0"/>
    <w:link w:val="a4"/>
    <w:semiHidden/>
    <w:rsid w:val="008D3AB6"/>
    <w:rPr>
      <w:rFonts w:ascii="Arial" w:eastAsia="Arial Unicode MS" w:hAnsi="Arial" w:cs="David"/>
      <w:snapToGrid w:val="0"/>
      <w:color w:val="000000"/>
      <w:sz w:val="14"/>
      <w:lang w:eastAsia="ja-JP"/>
    </w:rPr>
  </w:style>
  <w:style w:type="character" w:styleId="af0">
    <w:name w:val="annotation reference"/>
    <w:basedOn w:val="a0"/>
    <w:semiHidden/>
    <w:unhideWhenUsed/>
    <w:rsid w:val="004B24E7"/>
    <w:rPr>
      <w:sz w:val="16"/>
      <w:szCs w:val="16"/>
    </w:rPr>
  </w:style>
  <w:style w:type="paragraph" w:styleId="af1">
    <w:name w:val="annotation text"/>
    <w:basedOn w:val="a"/>
    <w:link w:val="af2"/>
    <w:semiHidden/>
    <w:unhideWhenUsed/>
    <w:rsid w:val="004B24E7"/>
    <w:pPr>
      <w:spacing w:line="240" w:lineRule="auto"/>
    </w:pPr>
    <w:rPr>
      <w:sz w:val="20"/>
      <w:szCs w:val="20"/>
    </w:rPr>
  </w:style>
  <w:style w:type="character" w:customStyle="1" w:styleId="af2">
    <w:name w:val="טקסט הערה תו"/>
    <w:basedOn w:val="a0"/>
    <w:link w:val="af1"/>
    <w:semiHidden/>
    <w:rsid w:val="004B24E7"/>
    <w:rPr>
      <w:rFonts w:ascii="Hadasa Roso SL" w:hAnsi="Hadasa Roso SL" w:cs="Hadasa Roso SL"/>
      <w:color w:val="000000"/>
      <w:spacing w:val="1"/>
      <w:lang w:eastAsia="ja-JP"/>
    </w:rPr>
  </w:style>
  <w:style w:type="paragraph" w:styleId="af3">
    <w:name w:val="annotation subject"/>
    <w:basedOn w:val="af1"/>
    <w:next w:val="af1"/>
    <w:link w:val="af4"/>
    <w:semiHidden/>
    <w:unhideWhenUsed/>
    <w:rsid w:val="004B24E7"/>
    <w:rPr>
      <w:b/>
      <w:bCs/>
    </w:rPr>
  </w:style>
  <w:style w:type="character" w:customStyle="1" w:styleId="af4">
    <w:name w:val="נושא הערה תו"/>
    <w:basedOn w:val="af2"/>
    <w:link w:val="af3"/>
    <w:semiHidden/>
    <w:rsid w:val="004B24E7"/>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22137">
      <w:bodyDiv w:val="1"/>
      <w:marLeft w:val="0"/>
      <w:marRight w:val="0"/>
      <w:marTop w:val="0"/>
      <w:marBottom w:val="0"/>
      <w:divBdr>
        <w:top w:val="none" w:sz="0" w:space="0" w:color="auto"/>
        <w:left w:val="none" w:sz="0" w:space="0" w:color="auto"/>
        <w:bottom w:val="none" w:sz="0" w:space="0" w:color="auto"/>
        <w:right w:val="none" w:sz="0" w:space="0" w:color="auto"/>
      </w:divBdr>
    </w:div>
    <w:div w:id="1017120753">
      <w:bodyDiv w:val="1"/>
      <w:marLeft w:val="0"/>
      <w:marRight w:val="0"/>
      <w:marTop w:val="0"/>
      <w:marBottom w:val="0"/>
      <w:divBdr>
        <w:top w:val="none" w:sz="0" w:space="0" w:color="auto"/>
        <w:left w:val="none" w:sz="0" w:space="0" w:color="auto"/>
        <w:bottom w:val="none" w:sz="0" w:space="0" w:color="auto"/>
        <w:right w:val="none" w:sz="0" w:space="0" w:color="auto"/>
      </w:divBdr>
    </w:div>
    <w:div w:id="1993369339">
      <w:bodyDiv w:val="1"/>
      <w:marLeft w:val="0"/>
      <w:marRight w:val="0"/>
      <w:marTop w:val="0"/>
      <w:marBottom w:val="0"/>
      <w:divBdr>
        <w:top w:val="none" w:sz="0" w:space="0" w:color="auto"/>
        <w:left w:val="none" w:sz="0" w:space="0" w:color="auto"/>
        <w:bottom w:val="none" w:sz="0" w:space="0" w:color="auto"/>
        <w:right w:val="none" w:sz="0" w:space="0" w:color="auto"/>
      </w:divBdr>
    </w:div>
    <w:div w:id="2021928237">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092AC-A345-41DB-BBA4-DD09AA465551}"/>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C0E029A8-655C-4F6F-83AF-F03490E9C792}"/>
</file>

<file path=docProps/app.xml><?xml version="1.0" encoding="utf-8"?>
<Properties xmlns="http://schemas.openxmlformats.org/officeDocument/2006/extended-properties" xmlns:vt="http://schemas.openxmlformats.org/officeDocument/2006/docPropsVTypes">
  <Template>Normal</Template>
  <TotalTime>503</TotalTime>
  <Pages>4</Pages>
  <Words>990</Words>
  <Characters>5649</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17</cp:revision>
  <cp:lastPrinted>2020-07-15T16:22:00Z</cp:lastPrinted>
  <dcterms:created xsi:type="dcterms:W3CDTF">2015-04-20T09:58:00Z</dcterms:created>
  <dcterms:modified xsi:type="dcterms:W3CDTF">2020-07-23T11:17:00Z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2142901</vt:r8>
  </property>
</Properties>
</file>