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2087651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אביגדור ליברמן</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______________________________________________</w:t>
      </w:r>
      <w:r>
        <w:br/>
      </w:r>
      <w:r>
        <w:rPr>
          <w:rtl/>
        </w:rPr>
        <w:t>מצטרפים: חברי הכנסת</w:t>
      </w:r>
      <w:bookmarkEnd w:id="4"/>
      <w:r w:rsidR="002200A1" w:rsidRPr="00CF1AA2">
        <w:rPr>
          <w:rFonts w:hint="cs"/>
          <w:rtl/>
        </w:rPr>
        <w:tab/>
      </w:r>
      <w:bookmarkStart w:id="5" w:name="LGS_PM_NamesJoin"/>
      <w:r>
        <w:rPr>
          <w:rFonts w:hint="cs"/>
          <w:rtl/>
        </w:rPr>
        <w:t>עודד פורר</w:t>
      </w:r>
      <w:r>
        <w:br/>
      </w:r>
      <w:r>
        <w:rPr>
          <w:rFonts w:hint="cs"/>
          <w:rtl/>
        </w:rPr>
        <w:t xml:space="preserve"> </w:t>
      </w:r>
      <w:r>
        <w:tab/>
      </w:r>
      <w:r>
        <w:tab/>
      </w:r>
      <w:r>
        <w:tab/>
      </w:r>
      <w:r>
        <w:tab/>
      </w:r>
      <w:r>
        <w:rPr>
          <w:rFonts w:hint="cs"/>
          <w:rtl/>
        </w:rPr>
        <w:t>יבגני סובה</w:t>
      </w:r>
      <w:r>
        <w:br/>
      </w:r>
      <w:r>
        <w:rPr>
          <w:rFonts w:hint="cs"/>
          <w:rtl/>
        </w:rPr>
        <w:t xml:space="preserve"> </w:t>
      </w:r>
      <w:r>
        <w:tab/>
      </w:r>
      <w:r>
        <w:tab/>
      </w:r>
      <w:r>
        <w:tab/>
      </w:r>
      <w:r>
        <w:tab/>
      </w:r>
      <w:r>
        <w:rPr>
          <w:rFonts w:hint="cs"/>
          <w:rtl/>
        </w:rPr>
        <w:t>אלי אבידר</w:t>
      </w:r>
      <w:r>
        <w:br/>
      </w:r>
      <w:r>
        <w:rPr>
          <w:rFonts w:hint="cs"/>
          <w:rtl/>
        </w:rPr>
        <w:t xml:space="preserve"> </w:t>
      </w:r>
      <w:r>
        <w:tab/>
      </w:r>
      <w:r>
        <w:tab/>
      </w:r>
      <w:r>
        <w:tab/>
      </w:r>
      <w:r>
        <w:tab/>
      </w:r>
      <w:r>
        <w:rPr>
          <w:rFonts w:hint="cs"/>
          <w:rtl/>
        </w:rPr>
        <w:t>יוליה מלינובסקי קונין</w:t>
      </w:r>
      <w:r>
        <w:br/>
      </w:r>
      <w:r>
        <w:rPr>
          <w:rFonts w:hint="cs"/>
          <w:rtl/>
        </w:rPr>
        <w:t xml:space="preserve"> </w:t>
      </w:r>
      <w:r>
        <w:tab/>
      </w:r>
      <w:r>
        <w:tab/>
      </w:r>
      <w:r>
        <w:tab/>
      </w:r>
      <w:r>
        <w:tab/>
      </w:r>
      <w:r>
        <w:rPr>
          <w:rFonts w:hint="cs"/>
          <w:rtl/>
        </w:rPr>
        <w:t>חמד עמאר</w:t>
      </w:r>
      <w:r>
        <w:br/>
      </w:r>
      <w:r>
        <w:rPr>
          <w:rFonts w:hint="cs"/>
          <w:rtl/>
        </w:rPr>
        <w:t xml:space="preserve"> </w:t>
      </w:r>
      <w:r>
        <w:tab/>
      </w:r>
      <w:r>
        <w:tab/>
      </w:r>
      <w:r>
        <w:tab/>
      </w:r>
      <w:r>
        <w:tab/>
      </w:r>
      <w:r>
        <w:rPr>
          <w:rFonts w:hint="cs"/>
          <w:rtl/>
        </w:rPr>
        <w:t>אלכס קושניר</w:t>
      </w:r>
      <w:bookmarkEnd w:id="5"/>
    </w:p>
    <w:p w14:paraId="3B293DE6" w14:textId="77777777" w:rsidR="00844146" w:rsidRDefault="00266D86" w:rsidP="0036422C">
      <w:pPr>
        <w:pStyle w:val="David"/>
        <w:ind w:left="3544"/>
        <w:rPr>
          <w:rtl/>
        </w:rPr>
      </w:pPr>
      <w:r>
        <w:t>____</w:t>
      </w:r>
      <w:r w:rsidR="00E374F2">
        <w:t>__</w:t>
      </w:r>
      <w:r>
        <w:t>________________________________________</w:t>
      </w:r>
    </w:p>
    <w:p w14:paraId="34DB4103" w14:textId="383480D0" w:rsidR="00904591" w:rsidRPr="00904591" w:rsidRDefault="00844146" w:rsidP="00844146">
      <w:pPr>
        <w:pStyle w:val="David"/>
        <w:ind w:left="5760" w:firstLine="720"/>
        <w:rPr>
          <w:sz w:val="4"/>
          <w:szCs w:val="4"/>
          <w:rtl/>
        </w:rPr>
      </w:pPr>
      <w:bookmarkStart w:id="6" w:name="_GoBack"/>
      <w:bookmarkEnd w:id="6"/>
      <w:r w:rsidRPr="00844146">
        <w:rPr>
          <w:rtl/>
        </w:rPr>
        <w:t>פ/1472/23</w:t>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2C04A5AF" w14:textId="77777777" w:rsidR="005D6F2F" w:rsidRDefault="005D6F2F" w:rsidP="005D6F2F">
      <w:pPr>
        <w:pStyle w:val="HeadHatzaotHok"/>
        <w:rPr>
          <w:rtl/>
        </w:rPr>
      </w:pPr>
      <w:bookmarkStart w:id="7" w:name="LGS_Subject"/>
      <w:r>
        <w:rPr>
          <w:rFonts w:hint="cs"/>
          <w:rtl/>
        </w:rPr>
        <w:t>הצעת חוק השירות הצבאי (שוויון הנטל) (תיקוני חקיקה), התש"ף–2020</w:t>
      </w:r>
      <w:bookmarkEnd w:id="7"/>
    </w:p>
    <w:p w14:paraId="495502EA" w14:textId="77777777" w:rsidR="005D6F2F" w:rsidRDefault="005D6F2F" w:rsidP="005D6F2F">
      <w:pPr>
        <w:pStyle w:val="Hesber"/>
        <w:ind w:firstLine="0"/>
        <w:rPr>
          <w:b/>
          <w:bCs/>
          <w:rtl/>
        </w:rPr>
      </w:pPr>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69"/>
        <w:gridCol w:w="624"/>
        <w:gridCol w:w="624"/>
        <w:gridCol w:w="624"/>
        <w:gridCol w:w="624"/>
        <w:gridCol w:w="624"/>
        <w:gridCol w:w="624"/>
        <w:gridCol w:w="624"/>
        <w:gridCol w:w="3401"/>
      </w:tblGrid>
      <w:tr w:rsidR="005D6F2F" w14:paraId="6132BBDB" w14:textId="77777777" w:rsidTr="000F6862">
        <w:trPr>
          <w:cantSplit/>
        </w:trPr>
        <w:tc>
          <w:tcPr>
            <w:tcW w:w="1869" w:type="dxa"/>
          </w:tcPr>
          <w:p w14:paraId="5D5DAAC4" w14:textId="77777777" w:rsidR="005D6F2F" w:rsidRPr="00D062A5" w:rsidRDefault="005D6F2F" w:rsidP="000F6862">
            <w:pPr>
              <w:pStyle w:val="TableSideHeading"/>
              <w:outlineLvl w:val="9"/>
            </w:pPr>
          </w:p>
        </w:tc>
        <w:tc>
          <w:tcPr>
            <w:tcW w:w="624" w:type="dxa"/>
          </w:tcPr>
          <w:p w14:paraId="6D6D0049" w14:textId="77777777" w:rsidR="005D6F2F" w:rsidRPr="00D062A5" w:rsidRDefault="005D6F2F" w:rsidP="000F6862">
            <w:pPr>
              <w:pStyle w:val="TableText"/>
              <w:jc w:val="both"/>
            </w:pPr>
          </w:p>
        </w:tc>
        <w:tc>
          <w:tcPr>
            <w:tcW w:w="7145" w:type="dxa"/>
            <w:gridSpan w:val="7"/>
          </w:tcPr>
          <w:p w14:paraId="09B0DD9E" w14:textId="77777777" w:rsidR="005D6F2F" w:rsidRPr="00982839" w:rsidRDefault="005D6F2F" w:rsidP="000F6862">
            <w:pPr>
              <w:pStyle w:val="TableHead"/>
              <w:outlineLvl w:val="9"/>
            </w:pPr>
            <w:r w:rsidRPr="00982839">
              <w:rPr>
                <w:rtl/>
              </w:rPr>
              <w:t>פרק א': עקרונות חובת השירות</w:t>
            </w:r>
          </w:p>
        </w:tc>
      </w:tr>
      <w:tr w:rsidR="005D6F2F" w14:paraId="3FD6E701" w14:textId="77777777" w:rsidTr="000F6862">
        <w:tblPrEx>
          <w:tblLook w:val="01E0" w:firstRow="1" w:lastRow="1" w:firstColumn="1" w:lastColumn="1" w:noHBand="0" w:noVBand="0"/>
        </w:tblPrEx>
        <w:trPr>
          <w:cantSplit/>
        </w:trPr>
        <w:tc>
          <w:tcPr>
            <w:tcW w:w="1869" w:type="dxa"/>
          </w:tcPr>
          <w:p w14:paraId="725DA902" w14:textId="77777777" w:rsidR="005D6F2F" w:rsidRPr="00982839" w:rsidRDefault="005D6F2F" w:rsidP="000F6862">
            <w:pPr>
              <w:pStyle w:val="TableSideHeading"/>
              <w:outlineLvl w:val="9"/>
            </w:pPr>
            <w:r w:rsidRPr="00982839">
              <w:rPr>
                <w:rtl/>
              </w:rPr>
              <w:t xml:space="preserve">תכליות החוק </w:t>
            </w:r>
          </w:p>
        </w:tc>
        <w:tc>
          <w:tcPr>
            <w:tcW w:w="624" w:type="dxa"/>
          </w:tcPr>
          <w:p w14:paraId="0E299383" w14:textId="77777777" w:rsidR="005D6F2F" w:rsidRPr="006C5B98" w:rsidRDefault="005D6F2F" w:rsidP="000F6862">
            <w:pPr>
              <w:pStyle w:val="TableText"/>
              <w:keepLines w:val="0"/>
              <w:numPr>
                <w:ilvl w:val="0"/>
                <w:numId w:val="12"/>
              </w:numPr>
              <w:rPr>
                <w:rFonts w:ascii="David" w:hAnsi="David"/>
                <w:sz w:val="26"/>
              </w:rPr>
            </w:pPr>
          </w:p>
        </w:tc>
        <w:tc>
          <w:tcPr>
            <w:tcW w:w="7145" w:type="dxa"/>
            <w:gridSpan w:val="7"/>
          </w:tcPr>
          <w:p w14:paraId="6C0CBDB6" w14:textId="77777777" w:rsidR="005D6F2F" w:rsidRPr="00C34DE2" w:rsidRDefault="005D6F2F" w:rsidP="000F6862">
            <w:pPr>
              <w:pStyle w:val="TableBlock"/>
            </w:pPr>
            <w:r w:rsidRPr="00982839">
              <w:rPr>
                <w:rtl/>
              </w:rPr>
              <w:t>התכליות המנויות להלן הן מתכליות חוק זה:</w:t>
            </w:r>
          </w:p>
        </w:tc>
      </w:tr>
      <w:tr w:rsidR="005D6F2F" w14:paraId="1C9A4CC3" w14:textId="77777777" w:rsidTr="000F6862">
        <w:trPr>
          <w:cantSplit/>
        </w:trPr>
        <w:tc>
          <w:tcPr>
            <w:tcW w:w="1869" w:type="dxa"/>
          </w:tcPr>
          <w:p w14:paraId="3268DCD1" w14:textId="77777777" w:rsidR="005D6F2F" w:rsidRPr="00D062A5" w:rsidRDefault="005D6F2F" w:rsidP="000F6862">
            <w:pPr>
              <w:pStyle w:val="TableSideHeading"/>
              <w:outlineLvl w:val="9"/>
            </w:pPr>
          </w:p>
        </w:tc>
        <w:tc>
          <w:tcPr>
            <w:tcW w:w="624" w:type="dxa"/>
          </w:tcPr>
          <w:p w14:paraId="7BEC1464" w14:textId="77777777" w:rsidR="005D6F2F" w:rsidRPr="006C5B98" w:rsidRDefault="005D6F2F" w:rsidP="000F6862">
            <w:pPr>
              <w:pStyle w:val="TableText"/>
              <w:rPr>
                <w:rFonts w:ascii="David" w:hAnsi="David"/>
                <w:sz w:val="26"/>
              </w:rPr>
            </w:pPr>
          </w:p>
        </w:tc>
        <w:tc>
          <w:tcPr>
            <w:tcW w:w="7145" w:type="dxa"/>
            <w:gridSpan w:val="7"/>
          </w:tcPr>
          <w:p w14:paraId="2AD731B2" w14:textId="77777777" w:rsidR="005D6F2F" w:rsidRPr="00982839" w:rsidRDefault="005D6F2F" w:rsidP="000F6862">
            <w:pPr>
              <w:pStyle w:val="TableBlock"/>
            </w:pPr>
            <w:r w:rsidRPr="00982839">
              <w:rPr>
                <w:rtl/>
              </w:rPr>
              <w:t>(1)</w:t>
            </w:r>
            <w:r w:rsidRPr="00982839">
              <w:rPr>
                <w:rtl/>
              </w:rPr>
              <w:tab/>
              <w:t>הבטחת שוויון בנטל השירות לכלל אזרחי המדינה;</w:t>
            </w:r>
          </w:p>
        </w:tc>
      </w:tr>
      <w:tr w:rsidR="005D6F2F" w14:paraId="05FFAACF" w14:textId="77777777" w:rsidTr="000F6862">
        <w:trPr>
          <w:cantSplit/>
        </w:trPr>
        <w:tc>
          <w:tcPr>
            <w:tcW w:w="1869" w:type="dxa"/>
          </w:tcPr>
          <w:p w14:paraId="667F992C" w14:textId="77777777" w:rsidR="005D6F2F" w:rsidRPr="00D062A5" w:rsidRDefault="005D6F2F" w:rsidP="000F6862">
            <w:pPr>
              <w:pStyle w:val="TableSideHeading"/>
              <w:outlineLvl w:val="9"/>
            </w:pPr>
          </w:p>
        </w:tc>
        <w:tc>
          <w:tcPr>
            <w:tcW w:w="624" w:type="dxa"/>
          </w:tcPr>
          <w:p w14:paraId="48242000" w14:textId="77777777" w:rsidR="005D6F2F" w:rsidRPr="006C5B98" w:rsidRDefault="005D6F2F" w:rsidP="000F6862">
            <w:pPr>
              <w:pStyle w:val="TableText"/>
              <w:rPr>
                <w:rFonts w:ascii="David" w:hAnsi="David"/>
                <w:sz w:val="26"/>
              </w:rPr>
            </w:pPr>
          </w:p>
        </w:tc>
        <w:tc>
          <w:tcPr>
            <w:tcW w:w="7145" w:type="dxa"/>
            <w:gridSpan w:val="7"/>
          </w:tcPr>
          <w:p w14:paraId="2CEC72DF" w14:textId="77777777" w:rsidR="005D6F2F" w:rsidRPr="00982839" w:rsidRDefault="005D6F2F" w:rsidP="000F6862">
            <w:pPr>
              <w:pStyle w:val="TableBlock"/>
            </w:pPr>
            <w:r w:rsidRPr="00982839">
              <w:rPr>
                <w:rtl/>
              </w:rPr>
              <w:t>(2)</w:t>
            </w:r>
            <w:r w:rsidRPr="00982839">
              <w:rPr>
                <w:rtl/>
              </w:rPr>
              <w:tab/>
              <w:t>יצירת הסדר לפיו כל אזרח במדינה ישרת בשירות צבאי, לאומי או אזרחי;</w:t>
            </w:r>
          </w:p>
        </w:tc>
      </w:tr>
      <w:tr w:rsidR="005D6F2F" w14:paraId="37BE56C0" w14:textId="77777777" w:rsidTr="000F6862">
        <w:trPr>
          <w:cantSplit/>
        </w:trPr>
        <w:tc>
          <w:tcPr>
            <w:tcW w:w="1869" w:type="dxa"/>
          </w:tcPr>
          <w:p w14:paraId="3C4879DA" w14:textId="77777777" w:rsidR="005D6F2F" w:rsidRPr="00D062A5" w:rsidRDefault="005D6F2F" w:rsidP="000F6862">
            <w:pPr>
              <w:pStyle w:val="TableSideHeading"/>
              <w:outlineLvl w:val="9"/>
            </w:pPr>
          </w:p>
        </w:tc>
        <w:tc>
          <w:tcPr>
            <w:tcW w:w="624" w:type="dxa"/>
          </w:tcPr>
          <w:p w14:paraId="437771F1" w14:textId="77777777" w:rsidR="005D6F2F" w:rsidRPr="006C5B98" w:rsidRDefault="005D6F2F" w:rsidP="000F6862">
            <w:pPr>
              <w:pStyle w:val="TableText"/>
              <w:rPr>
                <w:rFonts w:ascii="David" w:hAnsi="David"/>
                <w:sz w:val="26"/>
              </w:rPr>
            </w:pPr>
          </w:p>
        </w:tc>
        <w:tc>
          <w:tcPr>
            <w:tcW w:w="7145" w:type="dxa"/>
            <w:gridSpan w:val="7"/>
          </w:tcPr>
          <w:p w14:paraId="585B0AE8" w14:textId="77777777" w:rsidR="005D6F2F" w:rsidRPr="00982839" w:rsidRDefault="005D6F2F" w:rsidP="000F6862">
            <w:pPr>
              <w:pStyle w:val="TableBlock"/>
            </w:pPr>
            <w:r w:rsidRPr="00982839">
              <w:rPr>
                <w:rtl/>
              </w:rPr>
              <w:t>(3)</w:t>
            </w:r>
            <w:r w:rsidRPr="00982839">
              <w:rPr>
                <w:rtl/>
              </w:rPr>
              <w:tab/>
              <w:t>הכרה בנשיאה שווה בנטל כערך חשוב במדינת ישראל;</w:t>
            </w:r>
          </w:p>
        </w:tc>
      </w:tr>
      <w:tr w:rsidR="005D6F2F" w14:paraId="7B913271" w14:textId="77777777" w:rsidTr="000F6862">
        <w:trPr>
          <w:cantSplit/>
        </w:trPr>
        <w:tc>
          <w:tcPr>
            <w:tcW w:w="1869" w:type="dxa"/>
          </w:tcPr>
          <w:p w14:paraId="1C12CFE1" w14:textId="77777777" w:rsidR="005D6F2F" w:rsidRPr="00D062A5" w:rsidRDefault="005D6F2F" w:rsidP="000F6862">
            <w:pPr>
              <w:pStyle w:val="TableSideHeading"/>
              <w:outlineLvl w:val="9"/>
            </w:pPr>
          </w:p>
        </w:tc>
        <w:tc>
          <w:tcPr>
            <w:tcW w:w="624" w:type="dxa"/>
          </w:tcPr>
          <w:p w14:paraId="18BDB332" w14:textId="77777777" w:rsidR="005D6F2F" w:rsidRPr="006C5B98" w:rsidRDefault="005D6F2F" w:rsidP="000F6862">
            <w:pPr>
              <w:pStyle w:val="TableText"/>
              <w:rPr>
                <w:rFonts w:ascii="David" w:hAnsi="David"/>
                <w:sz w:val="26"/>
              </w:rPr>
            </w:pPr>
          </w:p>
        </w:tc>
        <w:tc>
          <w:tcPr>
            <w:tcW w:w="7145" w:type="dxa"/>
            <w:gridSpan w:val="7"/>
          </w:tcPr>
          <w:p w14:paraId="40905171" w14:textId="77777777" w:rsidR="005D6F2F" w:rsidRPr="00982839" w:rsidRDefault="005D6F2F" w:rsidP="000F6862">
            <w:pPr>
              <w:pStyle w:val="TableBlock"/>
            </w:pPr>
            <w:r w:rsidRPr="00982839">
              <w:rPr>
                <w:rtl/>
              </w:rPr>
              <w:t>(4)</w:t>
            </w:r>
            <w:r w:rsidRPr="00982839">
              <w:rPr>
                <w:rtl/>
              </w:rPr>
              <w:tab/>
              <w:t>יצירת אפשרות שירות למדינה בהתחשב באופי ובייחוד המגזרים השונים בישראל ומתן אפשרות לשמירה על הוראות הדתות השונות ומנהגיהן תוך כדי השירות.</w:t>
            </w:r>
          </w:p>
        </w:tc>
      </w:tr>
      <w:tr w:rsidR="005D6F2F" w14:paraId="4C2956DD" w14:textId="77777777" w:rsidTr="000F6862">
        <w:trPr>
          <w:cantSplit/>
        </w:trPr>
        <w:tc>
          <w:tcPr>
            <w:tcW w:w="1869" w:type="dxa"/>
          </w:tcPr>
          <w:p w14:paraId="0C490374" w14:textId="77777777" w:rsidR="005D6F2F" w:rsidRPr="00D062A5" w:rsidRDefault="005D6F2F" w:rsidP="000F6862">
            <w:pPr>
              <w:pStyle w:val="TableSideHeading"/>
              <w:outlineLvl w:val="9"/>
            </w:pPr>
            <w:r w:rsidRPr="00D062A5">
              <w:rPr>
                <w:rtl/>
              </w:rPr>
              <w:t>תיקון חוק שירות ביטחון</w:t>
            </w:r>
          </w:p>
        </w:tc>
        <w:tc>
          <w:tcPr>
            <w:tcW w:w="624" w:type="dxa"/>
          </w:tcPr>
          <w:p w14:paraId="681629EB" w14:textId="77777777" w:rsidR="005D6F2F" w:rsidRPr="0074239C" w:rsidRDefault="005D6F2F" w:rsidP="000F6862">
            <w:pPr>
              <w:pStyle w:val="TableBlock"/>
            </w:pPr>
            <w:r>
              <w:rPr>
                <w:rFonts w:hint="cs"/>
                <w:rtl/>
              </w:rPr>
              <w:t xml:space="preserve">2. </w:t>
            </w:r>
          </w:p>
        </w:tc>
        <w:tc>
          <w:tcPr>
            <w:tcW w:w="7145" w:type="dxa"/>
            <w:gridSpan w:val="7"/>
          </w:tcPr>
          <w:p w14:paraId="3552FFBA" w14:textId="77777777" w:rsidR="005D6F2F" w:rsidRPr="00D062A5" w:rsidRDefault="005D6F2F" w:rsidP="000F6862">
            <w:pPr>
              <w:pStyle w:val="TableBlock"/>
            </w:pPr>
            <w:r w:rsidRPr="00D062A5">
              <w:rPr>
                <w:rtl/>
              </w:rPr>
              <w:t>בחוק שירות ביטחון [נוסח משולב], התשמ"ו–1986</w:t>
            </w:r>
            <w:r w:rsidRPr="00E4438C">
              <w:rPr>
                <w:rStyle w:val="a6"/>
                <w:rFonts w:ascii="David" w:hAnsi="David"/>
                <w:sz w:val="26"/>
              </w:rPr>
              <w:footnoteReference w:id="2"/>
            </w:r>
            <w:r>
              <w:rPr>
                <w:rFonts w:hint="cs"/>
                <w:rtl/>
              </w:rPr>
              <w:t xml:space="preserve"> </w:t>
            </w:r>
            <w:r>
              <w:rPr>
                <w:rFonts w:hint="eastAsia"/>
                <w:rtl/>
              </w:rPr>
              <w:t>–</w:t>
            </w:r>
            <w:r>
              <w:rPr>
                <w:rFonts w:hint="cs"/>
                <w:rtl/>
              </w:rPr>
              <w:t xml:space="preserve"> </w:t>
            </w:r>
          </w:p>
        </w:tc>
      </w:tr>
      <w:tr w:rsidR="005D6F2F" w14:paraId="2168BE1E" w14:textId="77777777" w:rsidTr="000F6862">
        <w:trPr>
          <w:cantSplit/>
        </w:trPr>
        <w:tc>
          <w:tcPr>
            <w:tcW w:w="1869" w:type="dxa"/>
          </w:tcPr>
          <w:p w14:paraId="68F64362" w14:textId="77777777" w:rsidR="005D6F2F" w:rsidRPr="00D062A5" w:rsidRDefault="005D6F2F" w:rsidP="000F6862">
            <w:pPr>
              <w:pStyle w:val="TableSideHeading"/>
              <w:outlineLvl w:val="9"/>
              <w:rPr>
                <w:rtl/>
              </w:rPr>
            </w:pPr>
          </w:p>
        </w:tc>
        <w:tc>
          <w:tcPr>
            <w:tcW w:w="624" w:type="dxa"/>
          </w:tcPr>
          <w:p w14:paraId="4A840468" w14:textId="77777777" w:rsidR="005D6F2F" w:rsidDel="00F62377" w:rsidRDefault="005D6F2F" w:rsidP="000F6862">
            <w:pPr>
              <w:pStyle w:val="TableText"/>
              <w:rPr>
                <w:rtl/>
              </w:rPr>
            </w:pPr>
          </w:p>
        </w:tc>
        <w:tc>
          <w:tcPr>
            <w:tcW w:w="7145" w:type="dxa"/>
            <w:gridSpan w:val="7"/>
          </w:tcPr>
          <w:p w14:paraId="45A9E2A5" w14:textId="77777777" w:rsidR="005D6F2F" w:rsidRPr="00887A87" w:rsidRDefault="005D6F2F" w:rsidP="000F6862">
            <w:pPr>
              <w:pStyle w:val="TableText"/>
              <w:tabs>
                <w:tab w:val="clear" w:pos="624"/>
                <w:tab w:val="clear" w:pos="1247"/>
              </w:tabs>
              <w:jc w:val="both"/>
              <w:rPr>
                <w:rtl/>
              </w:rPr>
            </w:pPr>
            <w:r>
              <w:rPr>
                <w:rFonts w:hint="cs"/>
                <w:rtl/>
              </w:rPr>
              <w:t>(1)</w:t>
            </w:r>
            <w:r>
              <w:rPr>
                <w:rtl/>
              </w:rPr>
              <w:tab/>
            </w:r>
            <w:r>
              <w:rPr>
                <w:rFonts w:hint="cs"/>
                <w:rtl/>
              </w:rPr>
              <w:t xml:space="preserve">בסעיף 13 </w:t>
            </w:r>
            <w:r>
              <w:rPr>
                <w:rFonts w:hint="eastAsia"/>
                <w:rtl/>
              </w:rPr>
              <w:t>–</w:t>
            </w:r>
            <w:r>
              <w:rPr>
                <w:rFonts w:hint="cs"/>
                <w:rtl/>
              </w:rPr>
              <w:t xml:space="preserve"> </w:t>
            </w:r>
          </w:p>
        </w:tc>
      </w:tr>
      <w:tr w:rsidR="005D6F2F" w14:paraId="37E8B0C4" w14:textId="77777777" w:rsidTr="000F6862">
        <w:tblPrEx>
          <w:tblLook w:val="01E0" w:firstRow="1" w:lastRow="1" w:firstColumn="1" w:lastColumn="1" w:noHBand="0" w:noVBand="0"/>
        </w:tblPrEx>
        <w:trPr>
          <w:cantSplit/>
          <w:trHeight w:val="60"/>
        </w:trPr>
        <w:tc>
          <w:tcPr>
            <w:tcW w:w="1869" w:type="dxa"/>
          </w:tcPr>
          <w:p w14:paraId="4A524722" w14:textId="77777777" w:rsidR="005D6F2F" w:rsidRDefault="005D6F2F" w:rsidP="000F6862">
            <w:pPr>
              <w:pStyle w:val="TableSideHeading"/>
            </w:pPr>
          </w:p>
        </w:tc>
        <w:tc>
          <w:tcPr>
            <w:tcW w:w="624" w:type="dxa"/>
          </w:tcPr>
          <w:p w14:paraId="517FD312" w14:textId="77777777" w:rsidR="005D6F2F" w:rsidRDefault="005D6F2F" w:rsidP="000F6862">
            <w:pPr>
              <w:pStyle w:val="TableText"/>
            </w:pPr>
          </w:p>
        </w:tc>
        <w:tc>
          <w:tcPr>
            <w:tcW w:w="624" w:type="dxa"/>
          </w:tcPr>
          <w:p w14:paraId="2FD12CB6" w14:textId="77777777" w:rsidR="005D6F2F" w:rsidRDefault="005D6F2F" w:rsidP="000F6862">
            <w:pPr>
              <w:pStyle w:val="TableText"/>
            </w:pPr>
          </w:p>
        </w:tc>
        <w:tc>
          <w:tcPr>
            <w:tcW w:w="6521" w:type="dxa"/>
            <w:gridSpan w:val="6"/>
          </w:tcPr>
          <w:p w14:paraId="06AD0D6D" w14:textId="77777777" w:rsidR="005D6F2F" w:rsidRDefault="005D6F2F" w:rsidP="000F6862">
            <w:pPr>
              <w:pStyle w:val="TableBlock"/>
            </w:pPr>
            <w:r>
              <w:rPr>
                <w:rFonts w:hint="cs"/>
                <w:rtl/>
              </w:rPr>
              <w:t>(א)</w:t>
            </w:r>
            <w:r>
              <w:rPr>
                <w:rtl/>
              </w:rPr>
              <w:tab/>
            </w:r>
            <w:r>
              <w:rPr>
                <w:rFonts w:hint="cs"/>
                <w:rtl/>
              </w:rPr>
              <w:t xml:space="preserve">הרישה </w:t>
            </w:r>
            <w:r>
              <w:rPr>
                <w:rtl/>
              </w:rPr>
              <w:t>–</w:t>
            </w:r>
            <w:r>
              <w:rPr>
                <w:rFonts w:hint="cs"/>
                <w:rtl/>
              </w:rPr>
              <w:t xml:space="preserve"> תימחק;</w:t>
            </w:r>
          </w:p>
        </w:tc>
      </w:tr>
      <w:tr w:rsidR="005D6F2F" w14:paraId="528E08FD" w14:textId="77777777" w:rsidTr="000F6862">
        <w:tblPrEx>
          <w:tblLook w:val="01E0" w:firstRow="1" w:lastRow="1" w:firstColumn="1" w:lastColumn="1" w:noHBand="0" w:noVBand="0"/>
        </w:tblPrEx>
        <w:trPr>
          <w:cantSplit/>
          <w:trHeight w:val="60"/>
        </w:trPr>
        <w:tc>
          <w:tcPr>
            <w:tcW w:w="1869" w:type="dxa"/>
          </w:tcPr>
          <w:p w14:paraId="74D22272" w14:textId="77777777" w:rsidR="005D6F2F" w:rsidRDefault="005D6F2F" w:rsidP="000F6862">
            <w:pPr>
              <w:pStyle w:val="TableSideHeading"/>
            </w:pPr>
          </w:p>
        </w:tc>
        <w:tc>
          <w:tcPr>
            <w:tcW w:w="624" w:type="dxa"/>
          </w:tcPr>
          <w:p w14:paraId="3C80680D" w14:textId="77777777" w:rsidR="005D6F2F" w:rsidRDefault="005D6F2F" w:rsidP="000F6862">
            <w:pPr>
              <w:pStyle w:val="TableText"/>
            </w:pPr>
          </w:p>
        </w:tc>
        <w:tc>
          <w:tcPr>
            <w:tcW w:w="624" w:type="dxa"/>
          </w:tcPr>
          <w:p w14:paraId="25247F49" w14:textId="77777777" w:rsidR="005D6F2F" w:rsidRDefault="005D6F2F" w:rsidP="000F6862">
            <w:pPr>
              <w:pStyle w:val="TableText"/>
            </w:pPr>
          </w:p>
        </w:tc>
        <w:tc>
          <w:tcPr>
            <w:tcW w:w="6521" w:type="dxa"/>
            <w:gridSpan w:val="6"/>
          </w:tcPr>
          <w:p w14:paraId="0433CEB8" w14:textId="77777777" w:rsidR="005D6F2F" w:rsidRDefault="005D6F2F" w:rsidP="000F6862">
            <w:pPr>
              <w:pStyle w:val="TableBlock"/>
              <w:rPr>
                <w:rtl/>
              </w:rPr>
            </w:pPr>
            <w:r>
              <w:rPr>
                <w:rFonts w:hint="cs"/>
                <w:rtl/>
              </w:rPr>
              <w:t>(ב)</w:t>
            </w:r>
            <w:r>
              <w:rPr>
                <w:rtl/>
              </w:rPr>
              <w:tab/>
            </w:r>
            <w:r>
              <w:rPr>
                <w:rFonts w:hint="cs"/>
                <w:rtl/>
              </w:rPr>
              <w:t>בפסקה (1), לפני "ליוצא-צבא" יבוא "פוקד יקרא, בצו,";</w:t>
            </w:r>
          </w:p>
        </w:tc>
      </w:tr>
      <w:tr w:rsidR="005D6F2F" w14:paraId="4264F70F" w14:textId="77777777" w:rsidTr="000F6862">
        <w:tblPrEx>
          <w:tblLook w:val="01E0" w:firstRow="1" w:lastRow="1" w:firstColumn="1" w:lastColumn="1" w:noHBand="0" w:noVBand="0"/>
        </w:tblPrEx>
        <w:trPr>
          <w:cantSplit/>
          <w:trHeight w:val="60"/>
        </w:trPr>
        <w:tc>
          <w:tcPr>
            <w:tcW w:w="1869" w:type="dxa"/>
          </w:tcPr>
          <w:p w14:paraId="2DFBA8D4" w14:textId="77777777" w:rsidR="005D6F2F" w:rsidRDefault="005D6F2F" w:rsidP="000F6862">
            <w:pPr>
              <w:pStyle w:val="TableSideHeading"/>
            </w:pPr>
          </w:p>
        </w:tc>
        <w:tc>
          <w:tcPr>
            <w:tcW w:w="624" w:type="dxa"/>
          </w:tcPr>
          <w:p w14:paraId="2A889B78" w14:textId="77777777" w:rsidR="005D6F2F" w:rsidRDefault="005D6F2F" w:rsidP="000F6862">
            <w:pPr>
              <w:pStyle w:val="TableText"/>
            </w:pPr>
          </w:p>
        </w:tc>
        <w:tc>
          <w:tcPr>
            <w:tcW w:w="624" w:type="dxa"/>
          </w:tcPr>
          <w:p w14:paraId="55C104E3" w14:textId="77777777" w:rsidR="005D6F2F" w:rsidRDefault="005D6F2F" w:rsidP="000F6862">
            <w:pPr>
              <w:pStyle w:val="TableText"/>
            </w:pPr>
          </w:p>
        </w:tc>
        <w:tc>
          <w:tcPr>
            <w:tcW w:w="6521" w:type="dxa"/>
            <w:gridSpan w:val="6"/>
          </w:tcPr>
          <w:p w14:paraId="68E55E71" w14:textId="77777777" w:rsidR="005D6F2F" w:rsidRDefault="005D6F2F" w:rsidP="000F6862">
            <w:pPr>
              <w:pStyle w:val="TableBlock"/>
              <w:rPr>
                <w:rtl/>
              </w:rPr>
            </w:pPr>
            <w:r>
              <w:rPr>
                <w:rFonts w:hint="cs"/>
                <w:rtl/>
              </w:rPr>
              <w:t>(ג)</w:t>
            </w:r>
            <w:r>
              <w:rPr>
                <w:rtl/>
              </w:rPr>
              <w:tab/>
            </w:r>
            <w:r>
              <w:rPr>
                <w:rFonts w:hint="cs"/>
                <w:rtl/>
              </w:rPr>
              <w:t>בפסקה (2), לפני "ליוצא-צבא" יבוא "פוקד רשאי לקרוא, בצו";</w:t>
            </w:r>
          </w:p>
        </w:tc>
      </w:tr>
      <w:tr w:rsidR="005D6F2F" w14:paraId="71D4C60E" w14:textId="77777777" w:rsidTr="000F6862">
        <w:trPr>
          <w:cantSplit/>
        </w:trPr>
        <w:tc>
          <w:tcPr>
            <w:tcW w:w="1869" w:type="dxa"/>
          </w:tcPr>
          <w:p w14:paraId="3666C468" w14:textId="77777777" w:rsidR="005D6F2F" w:rsidRPr="00D062A5" w:rsidRDefault="005D6F2F" w:rsidP="000F6862">
            <w:pPr>
              <w:pStyle w:val="TableSideHeading"/>
              <w:outlineLvl w:val="9"/>
              <w:rPr>
                <w:rtl/>
              </w:rPr>
            </w:pPr>
          </w:p>
        </w:tc>
        <w:tc>
          <w:tcPr>
            <w:tcW w:w="624" w:type="dxa"/>
          </w:tcPr>
          <w:p w14:paraId="1F8987F9" w14:textId="77777777" w:rsidR="005D6F2F" w:rsidDel="00F62377" w:rsidRDefault="005D6F2F" w:rsidP="000F6862">
            <w:pPr>
              <w:pStyle w:val="TableText"/>
              <w:rPr>
                <w:rtl/>
              </w:rPr>
            </w:pPr>
          </w:p>
        </w:tc>
        <w:tc>
          <w:tcPr>
            <w:tcW w:w="7145" w:type="dxa"/>
            <w:gridSpan w:val="7"/>
          </w:tcPr>
          <w:p w14:paraId="7A322C27" w14:textId="77777777" w:rsidR="005D6F2F" w:rsidRPr="00D062A5" w:rsidRDefault="005D6F2F" w:rsidP="000F6862">
            <w:pPr>
              <w:pStyle w:val="TableBlock"/>
              <w:rPr>
                <w:rtl/>
              </w:rPr>
            </w:pPr>
            <w:r>
              <w:rPr>
                <w:rFonts w:hint="cs"/>
                <w:rtl/>
              </w:rPr>
              <w:t>(2)</w:t>
            </w:r>
            <w:r>
              <w:rPr>
                <w:rtl/>
              </w:rPr>
              <w:tab/>
            </w:r>
            <w:r>
              <w:rPr>
                <w:rFonts w:hint="cs"/>
                <w:rtl/>
              </w:rPr>
              <w:t>אחרי סעיף 15 יבוא:</w:t>
            </w:r>
          </w:p>
        </w:tc>
      </w:tr>
      <w:tr w:rsidR="005D6F2F" w14:paraId="0C2328CC" w14:textId="77777777" w:rsidTr="000F6862">
        <w:tblPrEx>
          <w:tblLook w:val="01E0" w:firstRow="1" w:lastRow="1" w:firstColumn="1" w:lastColumn="1" w:noHBand="0" w:noVBand="0"/>
        </w:tblPrEx>
        <w:trPr>
          <w:cantSplit/>
          <w:trHeight w:val="60"/>
        </w:trPr>
        <w:tc>
          <w:tcPr>
            <w:tcW w:w="1869" w:type="dxa"/>
          </w:tcPr>
          <w:p w14:paraId="0ABF0AE3" w14:textId="77777777" w:rsidR="005D6F2F" w:rsidRDefault="005D6F2F" w:rsidP="000F6862">
            <w:pPr>
              <w:pStyle w:val="TableSideHeading"/>
              <w:outlineLvl w:val="9"/>
            </w:pPr>
          </w:p>
        </w:tc>
        <w:tc>
          <w:tcPr>
            <w:tcW w:w="624" w:type="dxa"/>
          </w:tcPr>
          <w:p w14:paraId="5E116D6C" w14:textId="77777777" w:rsidR="005D6F2F" w:rsidRDefault="005D6F2F" w:rsidP="000F6862">
            <w:pPr>
              <w:pStyle w:val="TableText"/>
              <w:jc w:val="both"/>
            </w:pPr>
          </w:p>
        </w:tc>
        <w:tc>
          <w:tcPr>
            <w:tcW w:w="624" w:type="dxa"/>
          </w:tcPr>
          <w:p w14:paraId="5D9FA299" w14:textId="77777777" w:rsidR="005D6F2F" w:rsidRDefault="005D6F2F" w:rsidP="000F6862">
            <w:pPr>
              <w:pStyle w:val="TableText"/>
              <w:jc w:val="both"/>
            </w:pPr>
          </w:p>
        </w:tc>
        <w:tc>
          <w:tcPr>
            <w:tcW w:w="1872" w:type="dxa"/>
            <w:gridSpan w:val="3"/>
          </w:tcPr>
          <w:p w14:paraId="502DA3AB" w14:textId="77777777" w:rsidR="005D6F2F" w:rsidRPr="00887A87" w:rsidRDefault="005D6F2F" w:rsidP="00E900A7">
            <w:pPr>
              <w:pStyle w:val="TableText"/>
            </w:pPr>
            <w:r>
              <w:rPr>
                <w:rFonts w:hint="cs"/>
                <w:rtl/>
              </w:rPr>
              <w:t>"הוראות מיוחדות לעניין בני מיעוטים ובוגרי מוסדות החינוך החרדים</w:t>
            </w:r>
          </w:p>
        </w:tc>
        <w:tc>
          <w:tcPr>
            <w:tcW w:w="624" w:type="dxa"/>
          </w:tcPr>
          <w:p w14:paraId="01ECBA08" w14:textId="77777777" w:rsidR="005D6F2F" w:rsidRPr="00887A87" w:rsidRDefault="005D6F2F" w:rsidP="000F6862">
            <w:pPr>
              <w:pStyle w:val="TableText"/>
              <w:jc w:val="both"/>
            </w:pPr>
            <w:r>
              <w:rPr>
                <w:rFonts w:hint="cs"/>
                <w:rtl/>
              </w:rPr>
              <w:t>15א.</w:t>
            </w:r>
          </w:p>
        </w:tc>
        <w:tc>
          <w:tcPr>
            <w:tcW w:w="4025" w:type="dxa"/>
            <w:gridSpan w:val="2"/>
          </w:tcPr>
          <w:p w14:paraId="71A96F63" w14:textId="77777777" w:rsidR="005D6F2F" w:rsidRPr="00887A87" w:rsidRDefault="005D6F2F" w:rsidP="000F6862">
            <w:pPr>
              <w:pStyle w:val="TableBlock"/>
            </w:pPr>
            <w:r>
              <w:rPr>
                <w:rFonts w:hint="cs"/>
                <w:rtl/>
              </w:rPr>
              <w:t>(א)</w:t>
            </w:r>
            <w:r>
              <w:rPr>
                <w:rtl/>
              </w:rPr>
              <w:tab/>
            </w:r>
            <w:r>
              <w:rPr>
                <w:rFonts w:hint="cs"/>
                <w:rtl/>
              </w:rPr>
              <w:t xml:space="preserve">יוצא צבא גבר שחייב בשירות סדיר לפי סעיף 15, והוא בן מיעוטים או בוגר מוסד חינוך חרדי יוצב לשירות בפיקוד העורף, אלא אם כן התקיים אחד מאלה: </w:t>
            </w:r>
          </w:p>
        </w:tc>
      </w:tr>
      <w:tr w:rsidR="005D6F2F" w14:paraId="461C43DE" w14:textId="77777777" w:rsidTr="000F6862">
        <w:tblPrEx>
          <w:tblLook w:val="01E0" w:firstRow="1" w:lastRow="1" w:firstColumn="1" w:lastColumn="1" w:noHBand="0" w:noVBand="0"/>
        </w:tblPrEx>
        <w:trPr>
          <w:cantSplit/>
          <w:trHeight w:val="60"/>
        </w:trPr>
        <w:tc>
          <w:tcPr>
            <w:tcW w:w="1869" w:type="dxa"/>
          </w:tcPr>
          <w:p w14:paraId="3BE0E005" w14:textId="77777777" w:rsidR="005D6F2F" w:rsidRDefault="005D6F2F" w:rsidP="000F6862">
            <w:pPr>
              <w:pStyle w:val="TableSideHeading"/>
            </w:pPr>
          </w:p>
        </w:tc>
        <w:tc>
          <w:tcPr>
            <w:tcW w:w="624" w:type="dxa"/>
          </w:tcPr>
          <w:p w14:paraId="3CFEE55A" w14:textId="77777777" w:rsidR="005D6F2F" w:rsidRDefault="005D6F2F" w:rsidP="000F6862">
            <w:pPr>
              <w:pStyle w:val="TableText"/>
            </w:pPr>
          </w:p>
        </w:tc>
        <w:tc>
          <w:tcPr>
            <w:tcW w:w="624" w:type="dxa"/>
          </w:tcPr>
          <w:p w14:paraId="19B176C1" w14:textId="77777777" w:rsidR="005D6F2F" w:rsidRDefault="005D6F2F" w:rsidP="000F6862">
            <w:pPr>
              <w:pStyle w:val="TableText"/>
            </w:pPr>
          </w:p>
        </w:tc>
        <w:tc>
          <w:tcPr>
            <w:tcW w:w="624" w:type="dxa"/>
          </w:tcPr>
          <w:p w14:paraId="48258169" w14:textId="77777777" w:rsidR="005D6F2F" w:rsidRDefault="005D6F2F" w:rsidP="000F6862">
            <w:pPr>
              <w:pStyle w:val="TableText"/>
            </w:pPr>
          </w:p>
        </w:tc>
        <w:tc>
          <w:tcPr>
            <w:tcW w:w="624" w:type="dxa"/>
          </w:tcPr>
          <w:p w14:paraId="61E274EE" w14:textId="77777777" w:rsidR="005D6F2F" w:rsidRDefault="005D6F2F" w:rsidP="000F6862">
            <w:pPr>
              <w:pStyle w:val="TableText"/>
            </w:pPr>
          </w:p>
        </w:tc>
        <w:tc>
          <w:tcPr>
            <w:tcW w:w="624" w:type="dxa"/>
          </w:tcPr>
          <w:p w14:paraId="47ACBBDB" w14:textId="77777777" w:rsidR="005D6F2F" w:rsidRDefault="005D6F2F" w:rsidP="000F6862">
            <w:pPr>
              <w:pStyle w:val="TableText"/>
            </w:pPr>
          </w:p>
        </w:tc>
        <w:tc>
          <w:tcPr>
            <w:tcW w:w="624" w:type="dxa"/>
          </w:tcPr>
          <w:p w14:paraId="48AFA1E4" w14:textId="77777777" w:rsidR="005D6F2F" w:rsidRDefault="005D6F2F" w:rsidP="000F6862">
            <w:pPr>
              <w:pStyle w:val="TableText"/>
            </w:pPr>
          </w:p>
        </w:tc>
        <w:tc>
          <w:tcPr>
            <w:tcW w:w="624" w:type="dxa"/>
          </w:tcPr>
          <w:p w14:paraId="14E27FCC" w14:textId="77777777" w:rsidR="005D6F2F" w:rsidRDefault="005D6F2F" w:rsidP="000F6862">
            <w:pPr>
              <w:pStyle w:val="TableText"/>
            </w:pPr>
          </w:p>
        </w:tc>
        <w:tc>
          <w:tcPr>
            <w:tcW w:w="3401" w:type="dxa"/>
          </w:tcPr>
          <w:p w14:paraId="504D7207" w14:textId="77777777" w:rsidR="005D6F2F" w:rsidRDefault="005D6F2F" w:rsidP="000F6862">
            <w:pPr>
              <w:pStyle w:val="TableBlock"/>
            </w:pPr>
            <w:r>
              <w:rPr>
                <w:rFonts w:hint="cs"/>
                <w:rtl/>
              </w:rPr>
              <w:t>(1)</w:t>
            </w:r>
            <w:r>
              <w:rPr>
                <w:rtl/>
              </w:rPr>
              <w:tab/>
            </w:r>
            <w:r>
              <w:rPr>
                <w:rFonts w:hint="cs"/>
                <w:rtl/>
              </w:rPr>
              <w:t>הוא נתן את הסכמתו לשרת ביחידה אחרת;</w:t>
            </w:r>
          </w:p>
        </w:tc>
      </w:tr>
      <w:tr w:rsidR="005D6F2F" w14:paraId="343E3902" w14:textId="77777777" w:rsidTr="000F6862">
        <w:tblPrEx>
          <w:tblLook w:val="01E0" w:firstRow="1" w:lastRow="1" w:firstColumn="1" w:lastColumn="1" w:noHBand="0" w:noVBand="0"/>
        </w:tblPrEx>
        <w:trPr>
          <w:cantSplit/>
          <w:trHeight w:val="60"/>
        </w:trPr>
        <w:tc>
          <w:tcPr>
            <w:tcW w:w="1869" w:type="dxa"/>
          </w:tcPr>
          <w:p w14:paraId="456486DF" w14:textId="77777777" w:rsidR="005D6F2F" w:rsidRDefault="005D6F2F" w:rsidP="000F6862">
            <w:pPr>
              <w:pStyle w:val="TableSideHeading"/>
            </w:pPr>
          </w:p>
        </w:tc>
        <w:tc>
          <w:tcPr>
            <w:tcW w:w="624" w:type="dxa"/>
          </w:tcPr>
          <w:p w14:paraId="3C96F014" w14:textId="77777777" w:rsidR="005D6F2F" w:rsidRDefault="005D6F2F" w:rsidP="000F6862">
            <w:pPr>
              <w:pStyle w:val="TableText"/>
            </w:pPr>
          </w:p>
        </w:tc>
        <w:tc>
          <w:tcPr>
            <w:tcW w:w="624" w:type="dxa"/>
          </w:tcPr>
          <w:p w14:paraId="05850BA8" w14:textId="77777777" w:rsidR="005D6F2F" w:rsidRDefault="005D6F2F" w:rsidP="000F6862">
            <w:pPr>
              <w:pStyle w:val="TableText"/>
            </w:pPr>
          </w:p>
        </w:tc>
        <w:tc>
          <w:tcPr>
            <w:tcW w:w="624" w:type="dxa"/>
          </w:tcPr>
          <w:p w14:paraId="5C1CDE15" w14:textId="77777777" w:rsidR="005D6F2F" w:rsidRDefault="005D6F2F" w:rsidP="000F6862">
            <w:pPr>
              <w:pStyle w:val="TableText"/>
            </w:pPr>
          </w:p>
        </w:tc>
        <w:tc>
          <w:tcPr>
            <w:tcW w:w="624" w:type="dxa"/>
          </w:tcPr>
          <w:p w14:paraId="5A80B25B" w14:textId="77777777" w:rsidR="005D6F2F" w:rsidRDefault="005D6F2F" w:rsidP="000F6862">
            <w:pPr>
              <w:pStyle w:val="TableText"/>
            </w:pPr>
          </w:p>
        </w:tc>
        <w:tc>
          <w:tcPr>
            <w:tcW w:w="624" w:type="dxa"/>
          </w:tcPr>
          <w:p w14:paraId="16472806" w14:textId="77777777" w:rsidR="005D6F2F" w:rsidRDefault="005D6F2F" w:rsidP="000F6862">
            <w:pPr>
              <w:pStyle w:val="TableText"/>
            </w:pPr>
          </w:p>
        </w:tc>
        <w:tc>
          <w:tcPr>
            <w:tcW w:w="624" w:type="dxa"/>
          </w:tcPr>
          <w:p w14:paraId="42D73549" w14:textId="77777777" w:rsidR="005D6F2F" w:rsidRDefault="005D6F2F" w:rsidP="000F6862">
            <w:pPr>
              <w:pStyle w:val="TableText"/>
            </w:pPr>
          </w:p>
        </w:tc>
        <w:tc>
          <w:tcPr>
            <w:tcW w:w="624" w:type="dxa"/>
          </w:tcPr>
          <w:p w14:paraId="552419D2" w14:textId="77777777" w:rsidR="005D6F2F" w:rsidRDefault="005D6F2F" w:rsidP="000F6862">
            <w:pPr>
              <w:pStyle w:val="TableText"/>
            </w:pPr>
          </w:p>
        </w:tc>
        <w:tc>
          <w:tcPr>
            <w:tcW w:w="3401" w:type="dxa"/>
          </w:tcPr>
          <w:p w14:paraId="64FF6122" w14:textId="77777777" w:rsidR="005D6F2F" w:rsidRDefault="005D6F2F" w:rsidP="000F6862">
            <w:pPr>
              <w:pStyle w:val="TableBlock"/>
              <w:rPr>
                <w:rtl/>
              </w:rPr>
            </w:pPr>
            <w:r>
              <w:rPr>
                <w:rFonts w:hint="cs"/>
                <w:rtl/>
              </w:rPr>
              <w:t>(2)</w:t>
            </w:r>
            <w:r>
              <w:rPr>
                <w:rtl/>
              </w:rPr>
              <w:tab/>
            </w:r>
            <w:r>
              <w:rPr>
                <w:rFonts w:hint="cs"/>
                <w:rtl/>
              </w:rPr>
              <w:t>הפוקד הפנה אותו לשירות לאומי</w:t>
            </w:r>
            <w:r>
              <w:rPr>
                <w:rFonts w:hint="eastAsia"/>
                <w:rtl/>
              </w:rPr>
              <w:t>–</w:t>
            </w:r>
            <w:r>
              <w:rPr>
                <w:rFonts w:hint="cs"/>
                <w:rtl/>
              </w:rPr>
              <w:t>אזרחי והוא נתן את הסכמתו לכך.</w:t>
            </w:r>
          </w:p>
        </w:tc>
      </w:tr>
      <w:tr w:rsidR="005D6F2F" w14:paraId="4AD519E1" w14:textId="77777777" w:rsidTr="000F6862">
        <w:tblPrEx>
          <w:tblLook w:val="01E0" w:firstRow="1" w:lastRow="1" w:firstColumn="1" w:lastColumn="1" w:noHBand="0" w:noVBand="0"/>
        </w:tblPrEx>
        <w:trPr>
          <w:cantSplit/>
          <w:trHeight w:val="60"/>
        </w:trPr>
        <w:tc>
          <w:tcPr>
            <w:tcW w:w="1869" w:type="dxa"/>
          </w:tcPr>
          <w:p w14:paraId="521DCB88" w14:textId="77777777" w:rsidR="005D6F2F" w:rsidRDefault="005D6F2F" w:rsidP="000F6862">
            <w:pPr>
              <w:pStyle w:val="TableSideHeading"/>
            </w:pPr>
          </w:p>
        </w:tc>
        <w:tc>
          <w:tcPr>
            <w:tcW w:w="624" w:type="dxa"/>
          </w:tcPr>
          <w:p w14:paraId="5C15F706" w14:textId="77777777" w:rsidR="005D6F2F" w:rsidRDefault="005D6F2F" w:rsidP="000F6862">
            <w:pPr>
              <w:pStyle w:val="TableText"/>
            </w:pPr>
          </w:p>
        </w:tc>
        <w:tc>
          <w:tcPr>
            <w:tcW w:w="624" w:type="dxa"/>
          </w:tcPr>
          <w:p w14:paraId="51B27A1E" w14:textId="77777777" w:rsidR="005D6F2F" w:rsidRDefault="005D6F2F" w:rsidP="000F6862">
            <w:pPr>
              <w:pStyle w:val="TableText"/>
            </w:pPr>
          </w:p>
        </w:tc>
        <w:tc>
          <w:tcPr>
            <w:tcW w:w="624" w:type="dxa"/>
          </w:tcPr>
          <w:p w14:paraId="4703C20A" w14:textId="77777777" w:rsidR="005D6F2F" w:rsidRDefault="005D6F2F" w:rsidP="000F6862">
            <w:pPr>
              <w:pStyle w:val="TableText"/>
            </w:pPr>
          </w:p>
        </w:tc>
        <w:tc>
          <w:tcPr>
            <w:tcW w:w="624" w:type="dxa"/>
          </w:tcPr>
          <w:p w14:paraId="7637DE1C" w14:textId="77777777" w:rsidR="005D6F2F" w:rsidRDefault="005D6F2F" w:rsidP="000F6862">
            <w:pPr>
              <w:pStyle w:val="TableText"/>
            </w:pPr>
          </w:p>
        </w:tc>
        <w:tc>
          <w:tcPr>
            <w:tcW w:w="624" w:type="dxa"/>
          </w:tcPr>
          <w:p w14:paraId="5850C843" w14:textId="77777777" w:rsidR="005D6F2F" w:rsidRDefault="005D6F2F" w:rsidP="000F6862">
            <w:pPr>
              <w:pStyle w:val="TableText"/>
            </w:pPr>
          </w:p>
        </w:tc>
        <w:tc>
          <w:tcPr>
            <w:tcW w:w="624" w:type="dxa"/>
          </w:tcPr>
          <w:p w14:paraId="2E1FA85A" w14:textId="77777777" w:rsidR="005D6F2F" w:rsidRDefault="005D6F2F" w:rsidP="000F6862">
            <w:pPr>
              <w:pStyle w:val="TableText"/>
            </w:pPr>
          </w:p>
        </w:tc>
        <w:tc>
          <w:tcPr>
            <w:tcW w:w="4025" w:type="dxa"/>
            <w:gridSpan w:val="2"/>
          </w:tcPr>
          <w:p w14:paraId="0F8A61C2" w14:textId="77777777" w:rsidR="005D6F2F" w:rsidRPr="00887A87" w:rsidRDefault="005D6F2F" w:rsidP="000F6862">
            <w:pPr>
              <w:pStyle w:val="TableBlock"/>
            </w:pPr>
            <w:r>
              <w:rPr>
                <w:rFonts w:hint="cs"/>
                <w:rtl/>
              </w:rPr>
              <w:t>(ב)</w:t>
            </w:r>
            <w:r>
              <w:rPr>
                <w:rtl/>
              </w:rPr>
              <w:tab/>
            </w:r>
            <w:r>
              <w:rPr>
                <w:rFonts w:hint="cs"/>
                <w:rtl/>
              </w:rPr>
              <w:t xml:space="preserve">בסעיף זה </w:t>
            </w:r>
            <w:r>
              <w:rPr>
                <w:rFonts w:hint="eastAsia"/>
                <w:rtl/>
              </w:rPr>
              <w:t>–</w:t>
            </w:r>
            <w:r>
              <w:rPr>
                <w:rFonts w:hint="cs"/>
                <w:rtl/>
              </w:rPr>
              <w:t xml:space="preserve"> </w:t>
            </w:r>
          </w:p>
        </w:tc>
      </w:tr>
      <w:tr w:rsidR="005D6F2F" w14:paraId="3257ABEF" w14:textId="77777777" w:rsidTr="000F6862">
        <w:tblPrEx>
          <w:tblLook w:val="01E0" w:firstRow="1" w:lastRow="1" w:firstColumn="1" w:lastColumn="1" w:noHBand="0" w:noVBand="0"/>
        </w:tblPrEx>
        <w:trPr>
          <w:cantSplit/>
          <w:trHeight w:val="60"/>
        </w:trPr>
        <w:tc>
          <w:tcPr>
            <w:tcW w:w="1869" w:type="dxa"/>
          </w:tcPr>
          <w:p w14:paraId="6C4EB4BD" w14:textId="77777777" w:rsidR="005D6F2F" w:rsidRDefault="005D6F2F" w:rsidP="000F6862">
            <w:pPr>
              <w:pStyle w:val="TableSideHeading"/>
            </w:pPr>
          </w:p>
        </w:tc>
        <w:tc>
          <w:tcPr>
            <w:tcW w:w="624" w:type="dxa"/>
          </w:tcPr>
          <w:p w14:paraId="227894FF" w14:textId="77777777" w:rsidR="005D6F2F" w:rsidRDefault="005D6F2F" w:rsidP="000F6862">
            <w:pPr>
              <w:pStyle w:val="TableText"/>
            </w:pPr>
          </w:p>
        </w:tc>
        <w:tc>
          <w:tcPr>
            <w:tcW w:w="624" w:type="dxa"/>
          </w:tcPr>
          <w:p w14:paraId="06F8C87E" w14:textId="77777777" w:rsidR="005D6F2F" w:rsidRDefault="005D6F2F" w:rsidP="000F6862">
            <w:pPr>
              <w:pStyle w:val="TableText"/>
            </w:pPr>
          </w:p>
        </w:tc>
        <w:tc>
          <w:tcPr>
            <w:tcW w:w="624" w:type="dxa"/>
          </w:tcPr>
          <w:p w14:paraId="113032B0" w14:textId="77777777" w:rsidR="005D6F2F" w:rsidRDefault="005D6F2F" w:rsidP="000F6862">
            <w:pPr>
              <w:pStyle w:val="TableText"/>
            </w:pPr>
          </w:p>
        </w:tc>
        <w:tc>
          <w:tcPr>
            <w:tcW w:w="624" w:type="dxa"/>
          </w:tcPr>
          <w:p w14:paraId="01154429" w14:textId="77777777" w:rsidR="005D6F2F" w:rsidRDefault="005D6F2F" w:rsidP="000F6862">
            <w:pPr>
              <w:pStyle w:val="TableText"/>
            </w:pPr>
          </w:p>
        </w:tc>
        <w:tc>
          <w:tcPr>
            <w:tcW w:w="624" w:type="dxa"/>
          </w:tcPr>
          <w:p w14:paraId="27E4918B" w14:textId="77777777" w:rsidR="005D6F2F" w:rsidRDefault="005D6F2F" w:rsidP="000F6862">
            <w:pPr>
              <w:pStyle w:val="TableText"/>
            </w:pPr>
          </w:p>
        </w:tc>
        <w:tc>
          <w:tcPr>
            <w:tcW w:w="624" w:type="dxa"/>
          </w:tcPr>
          <w:p w14:paraId="06B04144" w14:textId="77777777" w:rsidR="005D6F2F" w:rsidRDefault="005D6F2F" w:rsidP="000F6862">
            <w:pPr>
              <w:pStyle w:val="TableText"/>
            </w:pPr>
          </w:p>
        </w:tc>
        <w:tc>
          <w:tcPr>
            <w:tcW w:w="624" w:type="dxa"/>
          </w:tcPr>
          <w:p w14:paraId="32C47C6C" w14:textId="77777777" w:rsidR="005D6F2F" w:rsidRDefault="005D6F2F" w:rsidP="000F6862">
            <w:pPr>
              <w:pStyle w:val="TableText"/>
            </w:pPr>
          </w:p>
        </w:tc>
        <w:tc>
          <w:tcPr>
            <w:tcW w:w="3401" w:type="dxa"/>
          </w:tcPr>
          <w:p w14:paraId="36E60B99" w14:textId="77777777" w:rsidR="005D6F2F" w:rsidRDefault="005D6F2F" w:rsidP="000F6862">
            <w:pPr>
              <w:pStyle w:val="TableBlockOutdent"/>
            </w:pPr>
            <w:r>
              <w:rPr>
                <w:rFonts w:hint="cs"/>
                <w:rtl/>
              </w:rPr>
              <w:t xml:space="preserve">"בוגר מוסד חינוך חרדי" </w:t>
            </w:r>
            <w:r>
              <w:rPr>
                <w:rtl/>
              </w:rPr>
              <w:t>–</w:t>
            </w:r>
            <w:r>
              <w:rPr>
                <w:rFonts w:hint="cs"/>
                <w:rtl/>
              </w:rPr>
              <w:t xml:space="preserve"> מי שלמד בין גיל 14 </w:t>
            </w:r>
            <w:r w:rsidRPr="00887A87">
              <w:rPr>
                <w:rFonts w:hint="cs"/>
                <w:rtl/>
              </w:rPr>
              <w:t>לגיל</w:t>
            </w:r>
            <w:r>
              <w:rPr>
                <w:rFonts w:hint="cs"/>
                <w:rtl/>
              </w:rPr>
              <w:t xml:space="preserve"> 18, שנתיים לפחות, במוסד חינוך שהוא אחד מאלה:</w:t>
            </w:r>
          </w:p>
        </w:tc>
      </w:tr>
      <w:tr w:rsidR="005D6F2F" w14:paraId="1B739006" w14:textId="77777777" w:rsidTr="000F6862">
        <w:tblPrEx>
          <w:tblLook w:val="01E0" w:firstRow="1" w:lastRow="1" w:firstColumn="1" w:lastColumn="1" w:noHBand="0" w:noVBand="0"/>
        </w:tblPrEx>
        <w:trPr>
          <w:cantSplit/>
          <w:trHeight w:val="60"/>
        </w:trPr>
        <w:tc>
          <w:tcPr>
            <w:tcW w:w="1869" w:type="dxa"/>
          </w:tcPr>
          <w:p w14:paraId="686BCC95" w14:textId="77777777" w:rsidR="005D6F2F" w:rsidRDefault="005D6F2F" w:rsidP="000F6862">
            <w:pPr>
              <w:pStyle w:val="TableSideHeading"/>
            </w:pPr>
          </w:p>
        </w:tc>
        <w:tc>
          <w:tcPr>
            <w:tcW w:w="624" w:type="dxa"/>
          </w:tcPr>
          <w:p w14:paraId="0A946B64" w14:textId="77777777" w:rsidR="005D6F2F" w:rsidRDefault="005D6F2F" w:rsidP="000F6862">
            <w:pPr>
              <w:pStyle w:val="TableText"/>
            </w:pPr>
          </w:p>
        </w:tc>
        <w:tc>
          <w:tcPr>
            <w:tcW w:w="624" w:type="dxa"/>
          </w:tcPr>
          <w:p w14:paraId="7AE88715" w14:textId="77777777" w:rsidR="005D6F2F" w:rsidRDefault="005D6F2F" w:rsidP="000F6862">
            <w:pPr>
              <w:pStyle w:val="TableText"/>
            </w:pPr>
          </w:p>
        </w:tc>
        <w:tc>
          <w:tcPr>
            <w:tcW w:w="624" w:type="dxa"/>
          </w:tcPr>
          <w:p w14:paraId="459333D4" w14:textId="77777777" w:rsidR="005D6F2F" w:rsidRDefault="005D6F2F" w:rsidP="000F6862">
            <w:pPr>
              <w:pStyle w:val="TableText"/>
            </w:pPr>
          </w:p>
        </w:tc>
        <w:tc>
          <w:tcPr>
            <w:tcW w:w="624" w:type="dxa"/>
          </w:tcPr>
          <w:p w14:paraId="3B3827F4" w14:textId="77777777" w:rsidR="005D6F2F" w:rsidRDefault="005D6F2F" w:rsidP="000F6862">
            <w:pPr>
              <w:pStyle w:val="TableText"/>
            </w:pPr>
          </w:p>
        </w:tc>
        <w:tc>
          <w:tcPr>
            <w:tcW w:w="624" w:type="dxa"/>
          </w:tcPr>
          <w:p w14:paraId="7461909B" w14:textId="77777777" w:rsidR="005D6F2F" w:rsidRDefault="005D6F2F" w:rsidP="000F6862">
            <w:pPr>
              <w:pStyle w:val="TableText"/>
            </w:pPr>
          </w:p>
        </w:tc>
        <w:tc>
          <w:tcPr>
            <w:tcW w:w="624" w:type="dxa"/>
          </w:tcPr>
          <w:p w14:paraId="5DF589C3" w14:textId="77777777" w:rsidR="005D6F2F" w:rsidRDefault="005D6F2F" w:rsidP="000F6862">
            <w:pPr>
              <w:pStyle w:val="TableText"/>
            </w:pPr>
          </w:p>
        </w:tc>
        <w:tc>
          <w:tcPr>
            <w:tcW w:w="624" w:type="dxa"/>
          </w:tcPr>
          <w:p w14:paraId="2FB2D6A2" w14:textId="77777777" w:rsidR="005D6F2F" w:rsidRDefault="005D6F2F" w:rsidP="000F6862">
            <w:pPr>
              <w:pStyle w:val="TableText"/>
            </w:pPr>
          </w:p>
        </w:tc>
        <w:tc>
          <w:tcPr>
            <w:tcW w:w="3401" w:type="dxa"/>
          </w:tcPr>
          <w:p w14:paraId="7AE0C1B1" w14:textId="77777777" w:rsidR="005D6F2F" w:rsidRDefault="005D6F2F" w:rsidP="000F6862">
            <w:pPr>
              <w:pStyle w:val="TableBlock"/>
              <w:rPr>
                <w:rtl/>
              </w:rPr>
            </w:pPr>
            <w:r>
              <w:rPr>
                <w:rFonts w:hint="cs"/>
                <w:rtl/>
              </w:rPr>
              <w:t>(1)</w:t>
            </w:r>
            <w:r>
              <w:rPr>
                <w:rtl/>
              </w:rPr>
              <w:tab/>
            </w:r>
            <w:r>
              <w:rPr>
                <w:rFonts w:hint="cs"/>
                <w:rtl/>
              </w:rPr>
              <w:t xml:space="preserve">מוסד חינוך תרבותי ייחודי, כהגדרתו בחוק מוסדות </w:t>
            </w:r>
            <w:r w:rsidRPr="00887A87">
              <w:rPr>
                <w:rFonts w:hint="cs"/>
                <w:rtl/>
              </w:rPr>
              <w:t>תרבותיים</w:t>
            </w:r>
            <w:r>
              <w:rPr>
                <w:rFonts w:hint="cs"/>
                <w:rtl/>
              </w:rPr>
              <w:t xml:space="preserve"> ייחודיים, התשס"ח</w:t>
            </w:r>
            <w:r>
              <w:rPr>
                <w:rFonts w:hint="eastAsia"/>
                <w:rtl/>
              </w:rPr>
              <w:t>–</w:t>
            </w:r>
            <w:r>
              <w:rPr>
                <w:rFonts w:hint="cs"/>
                <w:rtl/>
              </w:rPr>
              <w:t>2008</w:t>
            </w:r>
            <w:r>
              <w:rPr>
                <w:rStyle w:val="a6"/>
                <w:rtl/>
              </w:rPr>
              <w:footnoteReference w:id="3"/>
            </w:r>
            <w:r>
              <w:rPr>
                <w:rFonts w:hint="cs"/>
                <w:rtl/>
              </w:rPr>
              <w:t>, המיועד לקבוצת האוכלוסייה המפורטת בפסקה (1) להגדרה "קבוצה תרבותית ייחודית" בחוק האמור;</w:t>
            </w:r>
          </w:p>
        </w:tc>
      </w:tr>
      <w:tr w:rsidR="005D6F2F" w14:paraId="029234A1" w14:textId="77777777" w:rsidTr="000F6862">
        <w:tblPrEx>
          <w:tblLook w:val="01E0" w:firstRow="1" w:lastRow="1" w:firstColumn="1" w:lastColumn="1" w:noHBand="0" w:noVBand="0"/>
        </w:tblPrEx>
        <w:trPr>
          <w:cantSplit/>
          <w:trHeight w:val="60"/>
        </w:trPr>
        <w:tc>
          <w:tcPr>
            <w:tcW w:w="1869" w:type="dxa"/>
          </w:tcPr>
          <w:p w14:paraId="3B68FF3C" w14:textId="77777777" w:rsidR="005D6F2F" w:rsidRDefault="005D6F2F" w:rsidP="000F6862">
            <w:pPr>
              <w:pStyle w:val="TableSideHeading"/>
            </w:pPr>
          </w:p>
        </w:tc>
        <w:tc>
          <w:tcPr>
            <w:tcW w:w="624" w:type="dxa"/>
          </w:tcPr>
          <w:p w14:paraId="46147E75" w14:textId="77777777" w:rsidR="005D6F2F" w:rsidRDefault="005D6F2F" w:rsidP="000F6862">
            <w:pPr>
              <w:pStyle w:val="TableText"/>
            </w:pPr>
          </w:p>
        </w:tc>
        <w:tc>
          <w:tcPr>
            <w:tcW w:w="624" w:type="dxa"/>
          </w:tcPr>
          <w:p w14:paraId="1B442A4B" w14:textId="77777777" w:rsidR="005D6F2F" w:rsidRDefault="005D6F2F" w:rsidP="000F6862">
            <w:pPr>
              <w:pStyle w:val="TableText"/>
            </w:pPr>
          </w:p>
        </w:tc>
        <w:tc>
          <w:tcPr>
            <w:tcW w:w="624" w:type="dxa"/>
          </w:tcPr>
          <w:p w14:paraId="21174648" w14:textId="77777777" w:rsidR="005D6F2F" w:rsidRDefault="005D6F2F" w:rsidP="000F6862">
            <w:pPr>
              <w:pStyle w:val="TableText"/>
            </w:pPr>
          </w:p>
        </w:tc>
        <w:tc>
          <w:tcPr>
            <w:tcW w:w="624" w:type="dxa"/>
          </w:tcPr>
          <w:p w14:paraId="14EFF321" w14:textId="77777777" w:rsidR="005D6F2F" w:rsidRDefault="005D6F2F" w:rsidP="000F6862">
            <w:pPr>
              <w:pStyle w:val="TableText"/>
            </w:pPr>
          </w:p>
        </w:tc>
        <w:tc>
          <w:tcPr>
            <w:tcW w:w="624" w:type="dxa"/>
          </w:tcPr>
          <w:p w14:paraId="544EEA97" w14:textId="77777777" w:rsidR="005D6F2F" w:rsidRDefault="005D6F2F" w:rsidP="000F6862">
            <w:pPr>
              <w:pStyle w:val="TableText"/>
            </w:pPr>
          </w:p>
        </w:tc>
        <w:tc>
          <w:tcPr>
            <w:tcW w:w="624" w:type="dxa"/>
          </w:tcPr>
          <w:p w14:paraId="728A8622" w14:textId="77777777" w:rsidR="005D6F2F" w:rsidRDefault="005D6F2F" w:rsidP="000F6862">
            <w:pPr>
              <w:pStyle w:val="TableText"/>
            </w:pPr>
          </w:p>
        </w:tc>
        <w:tc>
          <w:tcPr>
            <w:tcW w:w="624" w:type="dxa"/>
          </w:tcPr>
          <w:p w14:paraId="4748BA0A" w14:textId="77777777" w:rsidR="005D6F2F" w:rsidRDefault="005D6F2F" w:rsidP="000F6862">
            <w:pPr>
              <w:pStyle w:val="TableText"/>
            </w:pPr>
          </w:p>
        </w:tc>
        <w:tc>
          <w:tcPr>
            <w:tcW w:w="3401" w:type="dxa"/>
          </w:tcPr>
          <w:p w14:paraId="4C15FCDB" w14:textId="77777777" w:rsidR="005D6F2F" w:rsidRDefault="005D6F2F" w:rsidP="000F6862">
            <w:pPr>
              <w:pStyle w:val="TableBlock"/>
              <w:rPr>
                <w:rtl/>
              </w:rPr>
            </w:pPr>
            <w:r>
              <w:rPr>
                <w:rFonts w:hint="cs"/>
                <w:rtl/>
              </w:rPr>
              <w:t>(2)</w:t>
            </w:r>
            <w:r>
              <w:rPr>
                <w:rtl/>
              </w:rPr>
              <w:tab/>
            </w:r>
            <w:r>
              <w:rPr>
                <w:rFonts w:hint="cs"/>
                <w:rtl/>
              </w:rPr>
              <w:t>מוסד לימוד חרדי או חלק ממוסד לימודי המיועד לתלמידים חרדים, שקבע, בצו, שר הביטחון, בהתייעצות עם שר החינוך או שר העבודה, הרווחה והשירותים החברתיים, לפי העניין, ובאישור ועדת החוץ והביטחון של הכנסת;</w:t>
            </w:r>
          </w:p>
        </w:tc>
      </w:tr>
      <w:tr w:rsidR="005D6F2F" w14:paraId="4EB511EE" w14:textId="77777777" w:rsidTr="000F6862">
        <w:tblPrEx>
          <w:tblLook w:val="01E0" w:firstRow="1" w:lastRow="1" w:firstColumn="1" w:lastColumn="1" w:noHBand="0" w:noVBand="0"/>
        </w:tblPrEx>
        <w:trPr>
          <w:cantSplit/>
          <w:trHeight w:val="60"/>
        </w:trPr>
        <w:tc>
          <w:tcPr>
            <w:tcW w:w="1869" w:type="dxa"/>
          </w:tcPr>
          <w:p w14:paraId="3DF9BA83" w14:textId="77777777" w:rsidR="005D6F2F" w:rsidRDefault="005D6F2F" w:rsidP="000F6862">
            <w:pPr>
              <w:pStyle w:val="TableSideHeading"/>
            </w:pPr>
          </w:p>
        </w:tc>
        <w:tc>
          <w:tcPr>
            <w:tcW w:w="624" w:type="dxa"/>
          </w:tcPr>
          <w:p w14:paraId="30750C02" w14:textId="77777777" w:rsidR="005D6F2F" w:rsidRDefault="005D6F2F" w:rsidP="000F6862">
            <w:pPr>
              <w:pStyle w:val="TableText"/>
            </w:pPr>
          </w:p>
        </w:tc>
        <w:tc>
          <w:tcPr>
            <w:tcW w:w="624" w:type="dxa"/>
          </w:tcPr>
          <w:p w14:paraId="155A8019" w14:textId="77777777" w:rsidR="005D6F2F" w:rsidRDefault="005D6F2F" w:rsidP="000F6862">
            <w:pPr>
              <w:pStyle w:val="TableText"/>
            </w:pPr>
          </w:p>
        </w:tc>
        <w:tc>
          <w:tcPr>
            <w:tcW w:w="624" w:type="dxa"/>
          </w:tcPr>
          <w:p w14:paraId="4BF0EA9D" w14:textId="77777777" w:rsidR="005D6F2F" w:rsidRDefault="005D6F2F" w:rsidP="000F6862">
            <w:pPr>
              <w:pStyle w:val="TableText"/>
            </w:pPr>
          </w:p>
        </w:tc>
        <w:tc>
          <w:tcPr>
            <w:tcW w:w="624" w:type="dxa"/>
          </w:tcPr>
          <w:p w14:paraId="74657754" w14:textId="77777777" w:rsidR="005D6F2F" w:rsidRDefault="005D6F2F" w:rsidP="000F6862">
            <w:pPr>
              <w:pStyle w:val="TableText"/>
            </w:pPr>
          </w:p>
        </w:tc>
        <w:tc>
          <w:tcPr>
            <w:tcW w:w="624" w:type="dxa"/>
          </w:tcPr>
          <w:p w14:paraId="739FB9BD" w14:textId="77777777" w:rsidR="005D6F2F" w:rsidRDefault="005D6F2F" w:rsidP="000F6862">
            <w:pPr>
              <w:pStyle w:val="TableText"/>
            </w:pPr>
          </w:p>
        </w:tc>
        <w:tc>
          <w:tcPr>
            <w:tcW w:w="624" w:type="dxa"/>
          </w:tcPr>
          <w:p w14:paraId="51A57AF9" w14:textId="77777777" w:rsidR="005D6F2F" w:rsidRDefault="005D6F2F" w:rsidP="000F6862">
            <w:pPr>
              <w:pStyle w:val="TableText"/>
            </w:pPr>
          </w:p>
        </w:tc>
        <w:tc>
          <w:tcPr>
            <w:tcW w:w="624" w:type="dxa"/>
          </w:tcPr>
          <w:p w14:paraId="546B9146" w14:textId="77777777" w:rsidR="005D6F2F" w:rsidRDefault="005D6F2F" w:rsidP="000F6862">
            <w:pPr>
              <w:pStyle w:val="TableText"/>
            </w:pPr>
          </w:p>
        </w:tc>
        <w:tc>
          <w:tcPr>
            <w:tcW w:w="3401" w:type="dxa"/>
          </w:tcPr>
          <w:p w14:paraId="3DB11D12" w14:textId="77777777" w:rsidR="005D6F2F" w:rsidRDefault="005D6F2F" w:rsidP="000F6862">
            <w:pPr>
              <w:pStyle w:val="TableBlock"/>
              <w:rPr>
                <w:rtl/>
              </w:rPr>
            </w:pPr>
            <w:r>
              <w:rPr>
                <w:rFonts w:hint="cs"/>
                <w:rtl/>
              </w:rPr>
              <w:t xml:space="preserve">"בן מיעוטים" </w:t>
            </w:r>
            <w:r>
              <w:rPr>
                <w:rtl/>
              </w:rPr>
              <w:t>–</w:t>
            </w:r>
            <w:r>
              <w:rPr>
                <w:rFonts w:hint="cs"/>
                <w:rtl/>
              </w:rPr>
              <w:t xml:space="preserve"> למעט דרוזי".</w:t>
            </w:r>
          </w:p>
        </w:tc>
      </w:tr>
      <w:tr w:rsidR="005D6F2F" w14:paraId="017E16EB" w14:textId="77777777" w:rsidTr="000F6862">
        <w:trPr>
          <w:cantSplit/>
        </w:trPr>
        <w:tc>
          <w:tcPr>
            <w:tcW w:w="1869" w:type="dxa"/>
          </w:tcPr>
          <w:p w14:paraId="137DC1DD" w14:textId="77777777" w:rsidR="005D6F2F" w:rsidRPr="00D062A5" w:rsidRDefault="005D6F2F" w:rsidP="000F6862">
            <w:pPr>
              <w:pStyle w:val="TableSideHeading"/>
              <w:outlineLvl w:val="9"/>
            </w:pPr>
          </w:p>
        </w:tc>
        <w:tc>
          <w:tcPr>
            <w:tcW w:w="624" w:type="dxa"/>
          </w:tcPr>
          <w:p w14:paraId="5A82EC10" w14:textId="77777777" w:rsidR="005D6F2F" w:rsidRPr="00D062A5" w:rsidRDefault="005D6F2F" w:rsidP="000F6862">
            <w:pPr>
              <w:pStyle w:val="TableText"/>
              <w:jc w:val="both"/>
            </w:pPr>
          </w:p>
        </w:tc>
        <w:tc>
          <w:tcPr>
            <w:tcW w:w="7145" w:type="dxa"/>
            <w:gridSpan w:val="7"/>
          </w:tcPr>
          <w:p w14:paraId="6BA7052A" w14:textId="77777777" w:rsidR="005D6F2F" w:rsidRPr="00D062A5" w:rsidRDefault="005D6F2F" w:rsidP="000F6862">
            <w:pPr>
              <w:pStyle w:val="TableBlock"/>
            </w:pPr>
            <w:r w:rsidRPr="00D062A5">
              <w:rPr>
                <w:rtl/>
              </w:rPr>
              <w:t>(</w:t>
            </w:r>
            <w:r>
              <w:rPr>
                <w:rFonts w:hint="cs"/>
                <w:rtl/>
              </w:rPr>
              <w:t>3</w:t>
            </w:r>
            <w:r w:rsidRPr="00D062A5">
              <w:rPr>
                <w:rtl/>
              </w:rPr>
              <w:t>)</w:t>
            </w:r>
            <w:r w:rsidRPr="00D062A5">
              <w:rPr>
                <w:rtl/>
              </w:rPr>
              <w:tab/>
              <w:t>פרק ג'1 – בטל;</w:t>
            </w:r>
          </w:p>
        </w:tc>
      </w:tr>
      <w:tr w:rsidR="005D6F2F" w14:paraId="0A02E026" w14:textId="77777777" w:rsidTr="000F6862">
        <w:trPr>
          <w:cantSplit/>
        </w:trPr>
        <w:tc>
          <w:tcPr>
            <w:tcW w:w="1869" w:type="dxa"/>
          </w:tcPr>
          <w:p w14:paraId="5D41F62F" w14:textId="77777777" w:rsidR="005D6F2F" w:rsidRPr="00D062A5" w:rsidRDefault="005D6F2F" w:rsidP="000F6862">
            <w:pPr>
              <w:pStyle w:val="TableSideHeading"/>
              <w:outlineLvl w:val="9"/>
            </w:pPr>
          </w:p>
        </w:tc>
        <w:tc>
          <w:tcPr>
            <w:tcW w:w="624" w:type="dxa"/>
          </w:tcPr>
          <w:p w14:paraId="468E477C" w14:textId="77777777" w:rsidR="005D6F2F" w:rsidRPr="00D062A5" w:rsidRDefault="005D6F2F" w:rsidP="000F6862">
            <w:pPr>
              <w:pStyle w:val="TableText"/>
              <w:jc w:val="both"/>
            </w:pPr>
          </w:p>
        </w:tc>
        <w:tc>
          <w:tcPr>
            <w:tcW w:w="7145" w:type="dxa"/>
            <w:gridSpan w:val="7"/>
          </w:tcPr>
          <w:p w14:paraId="5B594041" w14:textId="77777777" w:rsidR="005D6F2F" w:rsidRPr="00D062A5" w:rsidRDefault="005D6F2F" w:rsidP="000F6862">
            <w:pPr>
              <w:pStyle w:val="TableBlock"/>
            </w:pPr>
            <w:r w:rsidRPr="00D062A5">
              <w:rPr>
                <w:rtl/>
              </w:rPr>
              <w:t>(</w:t>
            </w:r>
            <w:r>
              <w:rPr>
                <w:rFonts w:hint="cs"/>
                <w:rtl/>
              </w:rPr>
              <w:t>4</w:t>
            </w:r>
            <w:r w:rsidRPr="00D062A5">
              <w:rPr>
                <w:rtl/>
              </w:rPr>
              <w:t>)</w:t>
            </w:r>
            <w:r w:rsidRPr="00D062A5">
              <w:rPr>
                <w:rtl/>
              </w:rPr>
              <w:tab/>
              <w:t>אחרי סעיף 36א יבוא:</w:t>
            </w:r>
          </w:p>
        </w:tc>
      </w:tr>
      <w:tr w:rsidR="005D6F2F" w14:paraId="5DC8C0D1" w14:textId="77777777" w:rsidTr="000F6862">
        <w:tblPrEx>
          <w:tblLook w:val="01E0" w:firstRow="1" w:lastRow="1" w:firstColumn="1" w:lastColumn="1" w:noHBand="0" w:noVBand="0"/>
        </w:tblPrEx>
        <w:trPr>
          <w:cantSplit/>
          <w:trHeight w:val="60"/>
        </w:trPr>
        <w:tc>
          <w:tcPr>
            <w:tcW w:w="1869" w:type="dxa"/>
          </w:tcPr>
          <w:p w14:paraId="2B5DBFD0" w14:textId="77777777" w:rsidR="005D6F2F" w:rsidRDefault="005D6F2F" w:rsidP="000F6862">
            <w:pPr>
              <w:pStyle w:val="TableSideHeading"/>
            </w:pPr>
          </w:p>
        </w:tc>
        <w:tc>
          <w:tcPr>
            <w:tcW w:w="624" w:type="dxa"/>
          </w:tcPr>
          <w:p w14:paraId="46945645" w14:textId="77777777" w:rsidR="005D6F2F" w:rsidRDefault="005D6F2F" w:rsidP="000F6862">
            <w:pPr>
              <w:pStyle w:val="TableText"/>
            </w:pPr>
          </w:p>
        </w:tc>
        <w:tc>
          <w:tcPr>
            <w:tcW w:w="624" w:type="dxa"/>
          </w:tcPr>
          <w:p w14:paraId="43BE6863" w14:textId="77777777" w:rsidR="005D6F2F" w:rsidRDefault="005D6F2F" w:rsidP="000F6862">
            <w:pPr>
              <w:pStyle w:val="TableText"/>
            </w:pPr>
          </w:p>
        </w:tc>
        <w:tc>
          <w:tcPr>
            <w:tcW w:w="1872" w:type="dxa"/>
            <w:gridSpan w:val="3"/>
          </w:tcPr>
          <w:p w14:paraId="7AB77734" w14:textId="77777777" w:rsidR="005D6F2F" w:rsidRPr="003432EE" w:rsidRDefault="005D6F2F" w:rsidP="000F6862">
            <w:pPr>
              <w:pStyle w:val="TableText"/>
              <w:rPr>
                <w:rtl/>
              </w:rPr>
            </w:pPr>
            <w:r w:rsidRPr="003432EE">
              <w:rPr>
                <w:rFonts w:hint="cs"/>
                <w:rtl/>
              </w:rPr>
              <w:t>"</w:t>
            </w:r>
            <w:r w:rsidRPr="003432EE">
              <w:rPr>
                <w:rtl/>
              </w:rPr>
              <w:t>דחיית שירות ופטור לתלמידים, ספורטאים ואומנים מצטיינים</w:t>
            </w:r>
          </w:p>
        </w:tc>
        <w:tc>
          <w:tcPr>
            <w:tcW w:w="624" w:type="dxa"/>
          </w:tcPr>
          <w:p w14:paraId="6B64EC8A" w14:textId="77777777" w:rsidR="005D6F2F" w:rsidRPr="003432EE" w:rsidRDefault="005D6F2F" w:rsidP="000F6862">
            <w:pPr>
              <w:pStyle w:val="TableText"/>
              <w:rPr>
                <w:rtl/>
              </w:rPr>
            </w:pPr>
            <w:r w:rsidRPr="003432EE">
              <w:rPr>
                <w:rtl/>
              </w:rPr>
              <w:t>36</w:t>
            </w:r>
            <w:r w:rsidRPr="003432EE">
              <w:rPr>
                <w:rFonts w:hint="cs"/>
                <w:rtl/>
              </w:rPr>
              <w:t>ב</w:t>
            </w:r>
            <w:r w:rsidRPr="003432EE">
              <w:rPr>
                <w:rtl/>
              </w:rPr>
              <w:t>.</w:t>
            </w:r>
          </w:p>
        </w:tc>
        <w:tc>
          <w:tcPr>
            <w:tcW w:w="4025" w:type="dxa"/>
            <w:gridSpan w:val="2"/>
          </w:tcPr>
          <w:p w14:paraId="19D364A5" w14:textId="77777777" w:rsidR="005D6F2F" w:rsidRPr="003432EE" w:rsidRDefault="005D6F2F" w:rsidP="000F6862">
            <w:pPr>
              <w:pStyle w:val="TableBlock"/>
              <w:rPr>
                <w:rtl/>
              </w:rPr>
            </w:pPr>
            <w:r w:rsidRPr="003432EE">
              <w:rPr>
                <w:rtl/>
              </w:rPr>
              <w:t>שר הביטחון רשאי לפטור משירות ביטחון או לדחות את מועד התייצבותם של תלמידים מצטיינים באוניברסיטאות, ספורטאים מצטיינים ואומנים מצטיינים, ובלבד שלא יינתנו יותר מאלף וחמש מאות פטורים או דחיות שירות לפי סעיף זה בכל שנה."</w:t>
            </w:r>
          </w:p>
        </w:tc>
      </w:tr>
      <w:tr w:rsidR="005D6F2F" w14:paraId="2CE868F9" w14:textId="77777777" w:rsidTr="000F6862">
        <w:trPr>
          <w:cantSplit/>
        </w:trPr>
        <w:tc>
          <w:tcPr>
            <w:tcW w:w="1869" w:type="dxa"/>
          </w:tcPr>
          <w:p w14:paraId="7999F893" w14:textId="77777777" w:rsidR="005D6F2F" w:rsidRPr="00D062A5" w:rsidRDefault="005D6F2F" w:rsidP="000F6862">
            <w:pPr>
              <w:pStyle w:val="TableSideHeading"/>
              <w:outlineLvl w:val="9"/>
            </w:pPr>
            <w:r>
              <w:rPr>
                <w:rFonts w:hint="cs"/>
                <w:rtl/>
              </w:rPr>
              <w:t>תיקון</w:t>
            </w:r>
            <w:r w:rsidRPr="00D062A5">
              <w:rPr>
                <w:rtl/>
              </w:rPr>
              <w:t xml:space="preserve"> חוק שירות לאומי-אזרחי</w:t>
            </w:r>
          </w:p>
        </w:tc>
        <w:tc>
          <w:tcPr>
            <w:tcW w:w="624" w:type="dxa"/>
          </w:tcPr>
          <w:p w14:paraId="22E219C3" w14:textId="77777777" w:rsidR="005D6F2F" w:rsidRPr="00D062A5" w:rsidRDefault="005D6F2F" w:rsidP="000F6862">
            <w:pPr>
              <w:pStyle w:val="TableText"/>
              <w:jc w:val="both"/>
            </w:pPr>
            <w:r>
              <w:rPr>
                <w:rFonts w:hint="cs"/>
                <w:rtl/>
              </w:rPr>
              <w:t>3.</w:t>
            </w:r>
          </w:p>
        </w:tc>
        <w:tc>
          <w:tcPr>
            <w:tcW w:w="7145" w:type="dxa"/>
            <w:gridSpan w:val="7"/>
          </w:tcPr>
          <w:p w14:paraId="57031924" w14:textId="77777777" w:rsidR="005D6F2F" w:rsidRPr="00D062A5" w:rsidRDefault="005D6F2F" w:rsidP="000F6862">
            <w:pPr>
              <w:pStyle w:val="TableBlock"/>
            </w:pPr>
            <w:r>
              <w:rPr>
                <w:rFonts w:hint="cs"/>
                <w:rtl/>
              </w:rPr>
              <w:t>ב</w:t>
            </w:r>
            <w:r w:rsidRPr="00D062A5">
              <w:rPr>
                <w:rtl/>
              </w:rPr>
              <w:t>חוק שירות לאומי-אזרחי, התשע"ד–2014</w:t>
            </w:r>
            <w:r w:rsidRPr="00E4438C">
              <w:rPr>
                <w:rStyle w:val="a6"/>
                <w:rFonts w:ascii="David" w:hAnsi="David"/>
                <w:sz w:val="26"/>
                <w:rtl/>
              </w:rPr>
              <w:footnoteReference w:id="4"/>
            </w:r>
            <w:r w:rsidRPr="00D062A5">
              <w:rPr>
                <w:rtl/>
              </w:rPr>
              <w:t xml:space="preserve"> –</w:t>
            </w:r>
          </w:p>
        </w:tc>
      </w:tr>
      <w:tr w:rsidR="005D6F2F" w14:paraId="053684FD" w14:textId="77777777" w:rsidTr="000F6862">
        <w:trPr>
          <w:cantSplit/>
        </w:trPr>
        <w:tc>
          <w:tcPr>
            <w:tcW w:w="1869" w:type="dxa"/>
          </w:tcPr>
          <w:p w14:paraId="6B0FEBB3" w14:textId="77777777" w:rsidR="005D6F2F" w:rsidRPr="00D062A5" w:rsidDel="00F62377" w:rsidRDefault="005D6F2F" w:rsidP="000F6862">
            <w:pPr>
              <w:pStyle w:val="TableSideHeading"/>
              <w:outlineLvl w:val="9"/>
              <w:rPr>
                <w:rtl/>
              </w:rPr>
            </w:pPr>
          </w:p>
        </w:tc>
        <w:tc>
          <w:tcPr>
            <w:tcW w:w="624" w:type="dxa"/>
          </w:tcPr>
          <w:p w14:paraId="5CD22AA9" w14:textId="77777777" w:rsidR="005D6F2F" w:rsidRDefault="005D6F2F" w:rsidP="000F6862">
            <w:pPr>
              <w:pStyle w:val="TableText"/>
              <w:rPr>
                <w:rtl/>
              </w:rPr>
            </w:pPr>
          </w:p>
        </w:tc>
        <w:tc>
          <w:tcPr>
            <w:tcW w:w="7145" w:type="dxa"/>
            <w:gridSpan w:val="7"/>
          </w:tcPr>
          <w:p w14:paraId="05BB8052" w14:textId="77777777" w:rsidR="005D6F2F" w:rsidRDefault="005D6F2F" w:rsidP="000F6862">
            <w:pPr>
              <w:pStyle w:val="TableBlock"/>
              <w:rPr>
                <w:rtl/>
              </w:rPr>
            </w:pPr>
            <w:r>
              <w:rPr>
                <w:rFonts w:hint="cs"/>
                <w:rtl/>
              </w:rPr>
              <w:t>(1)</w:t>
            </w:r>
            <w:r>
              <w:rPr>
                <w:rtl/>
              </w:rPr>
              <w:tab/>
            </w:r>
            <w:r>
              <w:rPr>
                <w:rFonts w:hint="cs"/>
                <w:rtl/>
              </w:rPr>
              <w:t>בסעיף 1, בהגדרה "חוק שירות לאומי-אזרחי", במקום "פרק ג'1" יבוא "סעיף 15א(א)(2)";</w:t>
            </w:r>
          </w:p>
        </w:tc>
      </w:tr>
      <w:tr w:rsidR="005D6F2F" w14:paraId="236D9639" w14:textId="77777777" w:rsidTr="000F6862">
        <w:trPr>
          <w:cantSplit/>
        </w:trPr>
        <w:tc>
          <w:tcPr>
            <w:tcW w:w="1869" w:type="dxa"/>
          </w:tcPr>
          <w:p w14:paraId="17987E0F" w14:textId="77777777" w:rsidR="005D6F2F" w:rsidRPr="00D062A5" w:rsidDel="00F62377" w:rsidRDefault="005D6F2F" w:rsidP="000F6862">
            <w:pPr>
              <w:pStyle w:val="TableSideHeading"/>
              <w:outlineLvl w:val="9"/>
              <w:rPr>
                <w:rtl/>
              </w:rPr>
            </w:pPr>
          </w:p>
        </w:tc>
        <w:tc>
          <w:tcPr>
            <w:tcW w:w="624" w:type="dxa"/>
          </w:tcPr>
          <w:p w14:paraId="5028B601" w14:textId="77777777" w:rsidR="005D6F2F" w:rsidRDefault="005D6F2F" w:rsidP="000F6862">
            <w:pPr>
              <w:pStyle w:val="TableText"/>
              <w:rPr>
                <w:rtl/>
              </w:rPr>
            </w:pPr>
          </w:p>
        </w:tc>
        <w:tc>
          <w:tcPr>
            <w:tcW w:w="7145" w:type="dxa"/>
            <w:gridSpan w:val="7"/>
          </w:tcPr>
          <w:p w14:paraId="44DB12D0" w14:textId="77777777" w:rsidR="005D6F2F" w:rsidRDefault="005D6F2F" w:rsidP="000F6862">
            <w:pPr>
              <w:pStyle w:val="TableBlock"/>
              <w:rPr>
                <w:rtl/>
              </w:rPr>
            </w:pPr>
            <w:r>
              <w:rPr>
                <w:rFonts w:hint="cs"/>
                <w:rtl/>
              </w:rPr>
              <w:t>(2)</w:t>
            </w:r>
            <w:r>
              <w:rPr>
                <w:rtl/>
              </w:rPr>
              <w:tab/>
            </w:r>
            <w:r>
              <w:rPr>
                <w:rFonts w:hint="cs"/>
                <w:rtl/>
              </w:rPr>
              <w:t>בסעיף 2, במקום "פרק ג'1" יבוא "סעיף 15א(א)(2)";</w:t>
            </w:r>
          </w:p>
        </w:tc>
      </w:tr>
      <w:tr w:rsidR="005D6F2F" w14:paraId="4505615E" w14:textId="77777777" w:rsidTr="000F6862">
        <w:trPr>
          <w:cantSplit/>
        </w:trPr>
        <w:tc>
          <w:tcPr>
            <w:tcW w:w="1869" w:type="dxa"/>
          </w:tcPr>
          <w:p w14:paraId="3E28C852" w14:textId="77777777" w:rsidR="005D6F2F" w:rsidRPr="00D062A5" w:rsidDel="00F62377" w:rsidRDefault="005D6F2F" w:rsidP="000F6862">
            <w:pPr>
              <w:pStyle w:val="TableSideHeading"/>
              <w:outlineLvl w:val="9"/>
              <w:rPr>
                <w:rtl/>
              </w:rPr>
            </w:pPr>
          </w:p>
        </w:tc>
        <w:tc>
          <w:tcPr>
            <w:tcW w:w="624" w:type="dxa"/>
          </w:tcPr>
          <w:p w14:paraId="3D99D3CC" w14:textId="77777777" w:rsidR="005D6F2F" w:rsidRDefault="005D6F2F" w:rsidP="000F6862">
            <w:pPr>
              <w:pStyle w:val="TableText"/>
              <w:rPr>
                <w:rtl/>
              </w:rPr>
            </w:pPr>
          </w:p>
        </w:tc>
        <w:tc>
          <w:tcPr>
            <w:tcW w:w="7145" w:type="dxa"/>
            <w:gridSpan w:val="7"/>
          </w:tcPr>
          <w:p w14:paraId="515F0310" w14:textId="77777777" w:rsidR="005D6F2F" w:rsidRDefault="005D6F2F" w:rsidP="000F6862">
            <w:pPr>
              <w:pStyle w:val="TableBlock"/>
              <w:rPr>
                <w:rtl/>
              </w:rPr>
            </w:pPr>
            <w:r>
              <w:rPr>
                <w:rFonts w:hint="cs"/>
                <w:rtl/>
              </w:rPr>
              <w:t>(3)</w:t>
            </w:r>
            <w:r>
              <w:rPr>
                <w:rtl/>
              </w:rPr>
              <w:tab/>
            </w:r>
            <w:r>
              <w:rPr>
                <w:rFonts w:hint="cs"/>
                <w:rtl/>
              </w:rPr>
              <w:t xml:space="preserve">בסעיף 23(ג), המילה "על" </w:t>
            </w:r>
            <w:r>
              <w:rPr>
                <w:rtl/>
              </w:rPr>
              <w:t>–</w:t>
            </w:r>
            <w:r>
              <w:rPr>
                <w:rFonts w:hint="cs"/>
                <w:rtl/>
              </w:rPr>
              <w:t xml:space="preserve"> תימחק, ובמקום הסיפה החל במילים "יחולו" יבוא "והפוקד יקרא לו להתייצב לשירות סדיר".</w:t>
            </w:r>
          </w:p>
        </w:tc>
      </w:tr>
    </w:tbl>
    <w:p w14:paraId="7A7523D8" w14:textId="77777777" w:rsidR="005D6F2F" w:rsidRPr="008D43B3" w:rsidRDefault="005D6F2F" w:rsidP="005D6F2F">
      <w:pPr>
        <w:pStyle w:val="HeadDivreiHesber"/>
      </w:pPr>
      <w:r w:rsidRPr="008D43B3">
        <w:rPr>
          <w:rtl/>
        </w:rPr>
        <w:t>דברי הסבר</w:t>
      </w:r>
    </w:p>
    <w:p w14:paraId="7AED075B" w14:textId="77777777" w:rsidR="005D6F2F" w:rsidRPr="004043A2" w:rsidRDefault="005D6F2F" w:rsidP="005D6F2F">
      <w:pPr>
        <w:pStyle w:val="Hesber"/>
      </w:pPr>
      <w:r w:rsidRPr="004043A2">
        <w:rPr>
          <w:rtl/>
        </w:rPr>
        <w:t xml:space="preserve">צה"ל חזק הוא תנאי בסיסי לקיומה של מדינת ישראל והיותו של צה"ל צבא העם, בו משרתים כל חלקי העם, הוא תנאי הכרחי להיותו של צה"ל צבא חזק הנשען על חברה מאוחדת וחזקה. </w:t>
      </w:r>
    </w:p>
    <w:p w14:paraId="724031DB" w14:textId="77777777" w:rsidR="005D6F2F" w:rsidRDefault="005D6F2F" w:rsidP="005D6F2F">
      <w:pPr>
        <w:pStyle w:val="Hesber"/>
      </w:pPr>
      <w:r w:rsidRPr="004043A2">
        <w:rPr>
          <w:rtl/>
        </w:rPr>
        <w:t xml:space="preserve">הצעת חוק זו באה למנוע את ההשתמטות משירות למדינה וקובעת כי כל אזרח ישראלי המגיע לגיל 18 </w:t>
      </w:r>
      <w:r w:rsidRPr="004043A2">
        <w:rPr>
          <w:rtl/>
        </w:rPr>
        <w:lastRenderedPageBreak/>
        <w:t>ישרת שירות צבאי</w:t>
      </w:r>
      <w:r>
        <w:rPr>
          <w:rFonts w:hint="cs"/>
          <w:rtl/>
        </w:rPr>
        <w:t>. תלמידי ישיבות ובני מיעוטים (למעט הדרוזים) יוצבו לשרות בפיקוד העורף, אלא אם ירצו לשרת ביחידה אחרת או אם הצבא יחליט להפנות אותם לשירות לאומי-אזרחי.</w:t>
      </w:r>
      <w:r>
        <w:t xml:space="preserve"> </w:t>
      </w:r>
    </w:p>
    <w:p w14:paraId="23C58BE2" w14:textId="77777777" w:rsidR="005D6F2F" w:rsidRDefault="005D6F2F" w:rsidP="005D6F2F">
      <w:pPr>
        <w:pStyle w:val="Hesber"/>
        <w:rPr>
          <w:rtl/>
        </w:rPr>
      </w:pPr>
      <w:r>
        <w:rPr>
          <w:rFonts w:hint="cs"/>
          <w:rtl/>
        </w:rPr>
        <w:t xml:space="preserve">מי שלא יתייצב לשירות צבאי כאמור, יחולו עליו העונשים הקבועים </w:t>
      </w:r>
      <w:r w:rsidRPr="00D062A5">
        <w:rPr>
          <w:rtl/>
        </w:rPr>
        <w:t>בחוק שירות ביטחון [נוסח משולב], התשמ"ו–1986</w:t>
      </w:r>
      <w:r>
        <w:rPr>
          <w:rFonts w:hint="cs"/>
          <w:rtl/>
        </w:rPr>
        <w:t>.</w:t>
      </w:r>
    </w:p>
    <w:p w14:paraId="5B272FD7" w14:textId="77777777" w:rsidR="00E900A7" w:rsidRPr="00E900A7" w:rsidRDefault="00E900A7" w:rsidP="00E900A7">
      <w:pPr>
        <w:autoSpaceDE w:val="0"/>
        <w:autoSpaceDN w:val="0"/>
        <w:adjustRightInd w:val="0"/>
        <w:snapToGrid w:val="0"/>
        <w:ind w:left="0"/>
        <w:contextualSpacing w:val="0"/>
        <w:textAlignment w:val="center"/>
        <w:rPr>
          <w:rFonts w:ascii="Arial" w:eastAsia="Arial Unicode MS" w:hAnsi="Arial"/>
          <w:snapToGrid w:val="0"/>
          <w:sz w:val="20"/>
          <w:szCs w:val="26"/>
          <w:rtl/>
        </w:rPr>
      </w:pPr>
      <w:r w:rsidRPr="00E900A7">
        <w:rPr>
          <w:rFonts w:ascii="Arial" w:eastAsia="Arial Unicode MS" w:hAnsi="Arial"/>
          <w:snapToGrid w:val="0"/>
          <w:sz w:val="20"/>
          <w:szCs w:val="26"/>
          <w:rtl/>
        </w:rPr>
        <w:t>---------------------------------</w:t>
      </w:r>
    </w:p>
    <w:p w14:paraId="096334FC" w14:textId="77777777" w:rsidR="00E900A7" w:rsidRPr="00E900A7" w:rsidRDefault="00E900A7" w:rsidP="00E900A7">
      <w:pPr>
        <w:autoSpaceDE w:val="0"/>
        <w:autoSpaceDN w:val="0"/>
        <w:adjustRightInd w:val="0"/>
        <w:snapToGrid w:val="0"/>
        <w:ind w:left="0"/>
        <w:contextualSpacing w:val="0"/>
        <w:textAlignment w:val="center"/>
        <w:rPr>
          <w:rFonts w:ascii="Arial" w:eastAsia="Arial Unicode MS" w:hAnsi="Arial"/>
          <w:snapToGrid w:val="0"/>
          <w:sz w:val="26"/>
          <w:szCs w:val="26"/>
          <w:rtl/>
        </w:rPr>
      </w:pPr>
      <w:r w:rsidRPr="00E900A7">
        <w:rPr>
          <w:rFonts w:ascii="Arial" w:eastAsia="Arial Unicode MS" w:hAnsi="Arial" w:hint="cs"/>
          <w:snapToGrid w:val="0"/>
          <w:sz w:val="26"/>
          <w:szCs w:val="26"/>
          <w:rtl/>
        </w:rPr>
        <w:t>הוגשה</w:t>
      </w:r>
      <w:r w:rsidRPr="00E900A7">
        <w:rPr>
          <w:rFonts w:ascii="Arial" w:eastAsia="Arial Unicode MS" w:hAnsi="Arial"/>
          <w:snapToGrid w:val="0"/>
          <w:sz w:val="26"/>
          <w:szCs w:val="26"/>
          <w:rtl/>
        </w:rPr>
        <w:t xml:space="preserve"> </w:t>
      </w:r>
      <w:r w:rsidRPr="00E900A7">
        <w:rPr>
          <w:rFonts w:ascii="Arial" w:eastAsia="Arial Unicode MS" w:hAnsi="Arial" w:hint="cs"/>
          <w:snapToGrid w:val="0"/>
          <w:sz w:val="26"/>
          <w:szCs w:val="26"/>
          <w:rtl/>
        </w:rPr>
        <w:t>ליו</w:t>
      </w:r>
      <w:r w:rsidRPr="00E900A7">
        <w:rPr>
          <w:rFonts w:ascii="Arial" w:eastAsia="Arial Unicode MS" w:hAnsi="Arial"/>
          <w:snapToGrid w:val="0"/>
          <w:sz w:val="26"/>
          <w:szCs w:val="26"/>
          <w:rtl/>
        </w:rPr>
        <w:t>"</w:t>
      </w:r>
      <w:r w:rsidRPr="00E900A7">
        <w:rPr>
          <w:rFonts w:ascii="Arial" w:eastAsia="Arial Unicode MS" w:hAnsi="Arial" w:hint="cs"/>
          <w:snapToGrid w:val="0"/>
          <w:sz w:val="26"/>
          <w:szCs w:val="26"/>
          <w:rtl/>
        </w:rPr>
        <w:t>ר</w:t>
      </w:r>
      <w:r w:rsidRPr="00E900A7">
        <w:rPr>
          <w:rFonts w:ascii="Arial" w:eastAsia="Arial Unicode MS" w:hAnsi="Arial"/>
          <w:snapToGrid w:val="0"/>
          <w:sz w:val="26"/>
          <w:szCs w:val="26"/>
          <w:rtl/>
        </w:rPr>
        <w:t xml:space="preserve"> </w:t>
      </w:r>
      <w:r w:rsidRPr="00E900A7">
        <w:rPr>
          <w:rFonts w:ascii="Arial" w:eastAsia="Arial Unicode MS" w:hAnsi="Arial" w:hint="cs"/>
          <w:snapToGrid w:val="0"/>
          <w:sz w:val="26"/>
          <w:szCs w:val="26"/>
          <w:rtl/>
        </w:rPr>
        <w:t>הכנסת</w:t>
      </w:r>
      <w:r w:rsidRPr="00E900A7">
        <w:rPr>
          <w:rFonts w:ascii="Arial" w:eastAsia="Arial Unicode MS" w:hAnsi="Arial"/>
          <w:snapToGrid w:val="0"/>
          <w:sz w:val="26"/>
          <w:szCs w:val="26"/>
          <w:rtl/>
        </w:rPr>
        <w:t xml:space="preserve"> </w:t>
      </w:r>
      <w:r w:rsidRPr="00E900A7">
        <w:rPr>
          <w:rFonts w:ascii="Arial" w:eastAsia="Arial Unicode MS" w:hAnsi="Arial" w:hint="cs"/>
          <w:snapToGrid w:val="0"/>
          <w:sz w:val="26"/>
          <w:szCs w:val="26"/>
          <w:rtl/>
        </w:rPr>
        <w:t>והסגנים</w:t>
      </w:r>
    </w:p>
    <w:p w14:paraId="3DF44DE9" w14:textId="77777777" w:rsidR="00E900A7" w:rsidRPr="00E900A7" w:rsidRDefault="00E900A7" w:rsidP="00E900A7">
      <w:pPr>
        <w:autoSpaceDE w:val="0"/>
        <w:autoSpaceDN w:val="0"/>
        <w:adjustRightInd w:val="0"/>
        <w:snapToGrid w:val="0"/>
        <w:ind w:left="0"/>
        <w:contextualSpacing w:val="0"/>
        <w:textAlignment w:val="center"/>
        <w:rPr>
          <w:rFonts w:ascii="Arial" w:eastAsia="Arial Unicode MS" w:hAnsi="Arial"/>
          <w:snapToGrid w:val="0"/>
          <w:sz w:val="26"/>
          <w:szCs w:val="26"/>
          <w:rtl/>
        </w:rPr>
      </w:pPr>
      <w:r w:rsidRPr="00E900A7">
        <w:rPr>
          <w:rFonts w:ascii="Arial" w:eastAsia="Arial Unicode MS" w:hAnsi="Arial" w:hint="cs"/>
          <w:snapToGrid w:val="0"/>
          <w:sz w:val="26"/>
          <w:szCs w:val="26"/>
          <w:rtl/>
        </w:rPr>
        <w:t>והונחה</w:t>
      </w:r>
      <w:r w:rsidRPr="00E900A7">
        <w:rPr>
          <w:rFonts w:ascii="Arial" w:eastAsia="Arial Unicode MS" w:hAnsi="Arial"/>
          <w:snapToGrid w:val="0"/>
          <w:sz w:val="26"/>
          <w:szCs w:val="26"/>
          <w:rtl/>
        </w:rPr>
        <w:t xml:space="preserve"> </w:t>
      </w:r>
      <w:r w:rsidRPr="00E900A7">
        <w:rPr>
          <w:rFonts w:ascii="Arial" w:eastAsia="Arial Unicode MS" w:hAnsi="Arial" w:hint="cs"/>
          <w:snapToGrid w:val="0"/>
          <w:sz w:val="26"/>
          <w:szCs w:val="26"/>
          <w:rtl/>
        </w:rPr>
        <w:t>על</w:t>
      </w:r>
      <w:r w:rsidRPr="00E900A7">
        <w:rPr>
          <w:rFonts w:ascii="Arial" w:eastAsia="Arial Unicode MS" w:hAnsi="Arial"/>
          <w:snapToGrid w:val="0"/>
          <w:sz w:val="26"/>
          <w:szCs w:val="26"/>
          <w:rtl/>
        </w:rPr>
        <w:t xml:space="preserve"> </w:t>
      </w:r>
      <w:r w:rsidRPr="00E900A7">
        <w:rPr>
          <w:rFonts w:ascii="Arial" w:eastAsia="Arial Unicode MS" w:hAnsi="Arial" w:hint="cs"/>
          <w:snapToGrid w:val="0"/>
          <w:sz w:val="26"/>
          <w:szCs w:val="26"/>
          <w:rtl/>
        </w:rPr>
        <w:t>שולחן</w:t>
      </w:r>
      <w:r w:rsidRPr="00E900A7">
        <w:rPr>
          <w:rFonts w:ascii="Arial" w:eastAsia="Arial Unicode MS" w:hAnsi="Arial"/>
          <w:snapToGrid w:val="0"/>
          <w:sz w:val="26"/>
          <w:szCs w:val="26"/>
          <w:rtl/>
        </w:rPr>
        <w:t xml:space="preserve"> </w:t>
      </w:r>
      <w:r w:rsidRPr="00E900A7">
        <w:rPr>
          <w:rFonts w:ascii="Arial" w:eastAsia="Arial Unicode MS" w:hAnsi="Arial" w:hint="cs"/>
          <w:snapToGrid w:val="0"/>
          <w:sz w:val="26"/>
          <w:szCs w:val="26"/>
          <w:rtl/>
        </w:rPr>
        <w:t>הכנסת</w:t>
      </w:r>
      <w:r w:rsidRPr="00E900A7">
        <w:rPr>
          <w:rFonts w:ascii="Arial" w:eastAsia="Arial Unicode MS" w:hAnsi="Arial"/>
          <w:snapToGrid w:val="0"/>
          <w:sz w:val="26"/>
          <w:szCs w:val="26"/>
          <w:rtl/>
        </w:rPr>
        <w:t xml:space="preserve"> </w:t>
      </w:r>
      <w:r w:rsidRPr="00E900A7">
        <w:rPr>
          <w:rFonts w:ascii="Arial" w:eastAsia="Arial Unicode MS" w:hAnsi="Arial" w:hint="cs"/>
          <w:snapToGrid w:val="0"/>
          <w:sz w:val="26"/>
          <w:szCs w:val="26"/>
          <w:rtl/>
        </w:rPr>
        <w:t>ביום</w:t>
      </w:r>
    </w:p>
    <w:p w14:paraId="600D57A6" w14:textId="7FD6DF3B" w:rsidR="008E199B" w:rsidRPr="00AA0D2C" w:rsidRDefault="00E900A7" w:rsidP="00E900A7">
      <w:pPr>
        <w:autoSpaceDE w:val="0"/>
        <w:autoSpaceDN w:val="0"/>
        <w:adjustRightInd w:val="0"/>
        <w:snapToGrid w:val="0"/>
        <w:ind w:left="0"/>
        <w:contextualSpacing w:val="0"/>
        <w:textAlignment w:val="center"/>
      </w:pPr>
      <w:r w:rsidRPr="00E900A7">
        <w:rPr>
          <w:rFonts w:ascii="Arial" w:eastAsia="Arial Unicode MS" w:hAnsi="Arial" w:hint="cs"/>
          <w:snapToGrid w:val="0"/>
          <w:sz w:val="20"/>
          <w:szCs w:val="26"/>
          <w:rtl/>
        </w:rPr>
        <w:t>י"ד</w:t>
      </w:r>
      <w:r w:rsidRPr="00E900A7">
        <w:rPr>
          <w:rFonts w:ascii="Arial" w:eastAsia="Arial Unicode MS" w:hAnsi="Arial" w:hint="cs"/>
          <w:snapToGrid w:val="0"/>
          <w:sz w:val="26"/>
          <w:szCs w:val="26"/>
          <w:rtl/>
        </w:rPr>
        <w:t xml:space="preserve"> בתמוז התש"ף </w:t>
      </w:r>
      <w:r w:rsidRPr="00E900A7">
        <w:rPr>
          <w:rFonts w:ascii="Arial" w:eastAsia="Arial Unicode MS" w:hAnsi="Arial"/>
          <w:snapToGrid w:val="0"/>
          <w:sz w:val="26"/>
          <w:szCs w:val="26"/>
          <w:rtl/>
        </w:rPr>
        <w:t>–</w:t>
      </w:r>
      <w:r w:rsidRPr="00E900A7">
        <w:rPr>
          <w:rFonts w:ascii="Arial" w:eastAsia="Arial Unicode MS" w:hAnsi="Arial" w:hint="cs"/>
          <w:snapToGrid w:val="0"/>
          <w:sz w:val="26"/>
          <w:szCs w:val="26"/>
          <w:rtl/>
        </w:rPr>
        <w:t xml:space="preserve"> 6.7.20</w:t>
      </w:r>
    </w:p>
    <w:sectPr w:rsidR="008E199B" w:rsidRPr="00AA0D2C" w:rsidSect="00D062A5">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44146">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AB438D">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C94112D" w14:textId="77777777" w:rsidR="005D6F2F" w:rsidRDefault="005D6F2F" w:rsidP="005D6F2F">
      <w:pPr>
        <w:pStyle w:val="a4"/>
        <w:rPr>
          <w:rtl/>
        </w:rPr>
      </w:pPr>
      <w:r>
        <w:rPr>
          <w:rStyle w:val="a6"/>
        </w:rPr>
        <w:footnoteRef/>
      </w:r>
      <w:r>
        <w:rPr>
          <w:rtl/>
        </w:rPr>
        <w:t xml:space="preserve"> </w:t>
      </w:r>
      <w:r>
        <w:rPr>
          <w:rFonts w:hint="cs"/>
          <w:rtl/>
        </w:rPr>
        <w:t>ס"ח התשמ"ו, עמ' 107.</w:t>
      </w:r>
    </w:p>
  </w:footnote>
  <w:footnote w:id="3">
    <w:p w14:paraId="0763CE68" w14:textId="77777777" w:rsidR="005D6F2F" w:rsidRDefault="005D6F2F" w:rsidP="005D6F2F">
      <w:pPr>
        <w:pStyle w:val="a4"/>
        <w:rPr>
          <w:rtl/>
        </w:rPr>
      </w:pPr>
      <w:r>
        <w:rPr>
          <w:rStyle w:val="a6"/>
        </w:rPr>
        <w:footnoteRef/>
      </w:r>
      <w:r>
        <w:rPr>
          <w:rtl/>
        </w:rPr>
        <w:t xml:space="preserve"> </w:t>
      </w:r>
      <w:r>
        <w:rPr>
          <w:rFonts w:hint="cs"/>
          <w:rtl/>
        </w:rPr>
        <w:t>ס"ח התשס"ח, עמ' 742.</w:t>
      </w:r>
    </w:p>
  </w:footnote>
  <w:footnote w:id="4">
    <w:p w14:paraId="1AF2245B" w14:textId="77777777" w:rsidR="005D6F2F" w:rsidRDefault="005D6F2F" w:rsidP="005D6F2F">
      <w:pPr>
        <w:pStyle w:val="a4"/>
      </w:pPr>
      <w:r>
        <w:rPr>
          <w:rStyle w:val="a6"/>
        </w:rPr>
        <w:footnoteRef/>
      </w:r>
      <w:r>
        <w:rPr>
          <w:rtl/>
        </w:rPr>
        <w:t xml:space="preserve"> </w:t>
      </w:r>
      <w:r w:rsidRPr="00AB438D">
        <w:rPr>
          <w:rtl/>
        </w:rPr>
        <w:t>ס"ח התשע"ד, עמ' 380.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4B0B"/>
    <w:rsid w:val="0007681A"/>
    <w:rsid w:val="000A542E"/>
    <w:rsid w:val="00102B6B"/>
    <w:rsid w:val="001052D4"/>
    <w:rsid w:val="0010644B"/>
    <w:rsid w:val="001207F8"/>
    <w:rsid w:val="00121924"/>
    <w:rsid w:val="001279A8"/>
    <w:rsid w:val="0014195F"/>
    <w:rsid w:val="00152609"/>
    <w:rsid w:val="00153E1B"/>
    <w:rsid w:val="001A0623"/>
    <w:rsid w:val="001A2202"/>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8384C"/>
    <w:rsid w:val="00292712"/>
    <w:rsid w:val="002A487D"/>
    <w:rsid w:val="002B3CC3"/>
    <w:rsid w:val="002C0C70"/>
    <w:rsid w:val="002C2E29"/>
    <w:rsid w:val="002C3041"/>
    <w:rsid w:val="002D1EE3"/>
    <w:rsid w:val="002F1D80"/>
    <w:rsid w:val="00307741"/>
    <w:rsid w:val="003232A2"/>
    <w:rsid w:val="00325C14"/>
    <w:rsid w:val="0036422C"/>
    <w:rsid w:val="003710F6"/>
    <w:rsid w:val="00382909"/>
    <w:rsid w:val="00386E88"/>
    <w:rsid w:val="00396585"/>
    <w:rsid w:val="003D3360"/>
    <w:rsid w:val="003D6E38"/>
    <w:rsid w:val="003D74A0"/>
    <w:rsid w:val="004033D8"/>
    <w:rsid w:val="004073F0"/>
    <w:rsid w:val="00412A7D"/>
    <w:rsid w:val="00416B4D"/>
    <w:rsid w:val="00417CFC"/>
    <w:rsid w:val="00483B66"/>
    <w:rsid w:val="004A06DC"/>
    <w:rsid w:val="004B24ED"/>
    <w:rsid w:val="004B6625"/>
    <w:rsid w:val="004D2D82"/>
    <w:rsid w:val="004D3876"/>
    <w:rsid w:val="004E4552"/>
    <w:rsid w:val="004E6CDF"/>
    <w:rsid w:val="00537595"/>
    <w:rsid w:val="00553C9D"/>
    <w:rsid w:val="00562A66"/>
    <w:rsid w:val="005907A6"/>
    <w:rsid w:val="005B064E"/>
    <w:rsid w:val="005C4D69"/>
    <w:rsid w:val="005D51AE"/>
    <w:rsid w:val="005D6F2F"/>
    <w:rsid w:val="0062674B"/>
    <w:rsid w:val="006363B2"/>
    <w:rsid w:val="00644940"/>
    <w:rsid w:val="006818A9"/>
    <w:rsid w:val="006A2D81"/>
    <w:rsid w:val="006B5C74"/>
    <w:rsid w:val="006C1D0D"/>
    <w:rsid w:val="006C5B98"/>
    <w:rsid w:val="0070601E"/>
    <w:rsid w:val="00712C72"/>
    <w:rsid w:val="00735FE9"/>
    <w:rsid w:val="0074239C"/>
    <w:rsid w:val="00763CAA"/>
    <w:rsid w:val="00765F66"/>
    <w:rsid w:val="0078664F"/>
    <w:rsid w:val="007A27CE"/>
    <w:rsid w:val="007C3FA6"/>
    <w:rsid w:val="007C72BC"/>
    <w:rsid w:val="007D585A"/>
    <w:rsid w:val="007D5A12"/>
    <w:rsid w:val="007D660A"/>
    <w:rsid w:val="007E59F9"/>
    <w:rsid w:val="00810BCD"/>
    <w:rsid w:val="00812C98"/>
    <w:rsid w:val="00814D92"/>
    <w:rsid w:val="0083181D"/>
    <w:rsid w:val="00843EB2"/>
    <w:rsid w:val="00844146"/>
    <w:rsid w:val="00865572"/>
    <w:rsid w:val="00874BBC"/>
    <w:rsid w:val="00892135"/>
    <w:rsid w:val="00895449"/>
    <w:rsid w:val="00897879"/>
    <w:rsid w:val="008A6870"/>
    <w:rsid w:val="008C18AD"/>
    <w:rsid w:val="008C2DDC"/>
    <w:rsid w:val="008C7516"/>
    <w:rsid w:val="008D43B3"/>
    <w:rsid w:val="008E199B"/>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2839"/>
    <w:rsid w:val="00983A8D"/>
    <w:rsid w:val="009A0DB8"/>
    <w:rsid w:val="009A7257"/>
    <w:rsid w:val="009D6E0A"/>
    <w:rsid w:val="009E1E33"/>
    <w:rsid w:val="00A14672"/>
    <w:rsid w:val="00A26BD6"/>
    <w:rsid w:val="00A443CF"/>
    <w:rsid w:val="00A6611D"/>
    <w:rsid w:val="00A82CB7"/>
    <w:rsid w:val="00A942C1"/>
    <w:rsid w:val="00AA0D2C"/>
    <w:rsid w:val="00AA2AEC"/>
    <w:rsid w:val="00AA2F03"/>
    <w:rsid w:val="00AB438D"/>
    <w:rsid w:val="00AC36F7"/>
    <w:rsid w:val="00AC63A4"/>
    <w:rsid w:val="00AD239E"/>
    <w:rsid w:val="00B10265"/>
    <w:rsid w:val="00B16A99"/>
    <w:rsid w:val="00B21211"/>
    <w:rsid w:val="00B35784"/>
    <w:rsid w:val="00B733A7"/>
    <w:rsid w:val="00B75C91"/>
    <w:rsid w:val="00B84E94"/>
    <w:rsid w:val="00B975AD"/>
    <w:rsid w:val="00BC45FB"/>
    <w:rsid w:val="00BF148D"/>
    <w:rsid w:val="00C23B1A"/>
    <w:rsid w:val="00C310EB"/>
    <w:rsid w:val="00C9176A"/>
    <w:rsid w:val="00CF1AA2"/>
    <w:rsid w:val="00D062A5"/>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900A7"/>
    <w:rsid w:val="00EA01E6"/>
    <w:rsid w:val="00EA3DE8"/>
    <w:rsid w:val="00EA758F"/>
    <w:rsid w:val="00EB2788"/>
    <w:rsid w:val="00EB28E7"/>
    <w:rsid w:val="00EC0FD1"/>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248906E-3560-4655-AD1A-D1390C39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2A5"/>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D062A5"/>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D062A5"/>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D062A5"/>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D062A5"/>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D062A5"/>
    <w:pPr>
      <w:spacing w:line="259" w:lineRule="auto"/>
      <w:outlineLvl w:val="4"/>
    </w:pPr>
    <w:rPr>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D062A5"/>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D062A5"/>
    <w:rPr>
      <w:sz w:val="36"/>
      <w:szCs w:val="52"/>
    </w:rPr>
  </w:style>
  <w:style w:type="paragraph" w:customStyle="1" w:styleId="Cover3-Haknesset">
    <w:name w:val="Cover 3-Haknesset"/>
    <w:basedOn w:val="Cover1-Reshumot"/>
    <w:rsid w:val="00D062A5"/>
    <w:rPr>
      <w:b/>
      <w:bCs/>
      <w:spacing w:val="60"/>
    </w:rPr>
  </w:style>
  <w:style w:type="paragraph" w:customStyle="1" w:styleId="Cover4-Date">
    <w:name w:val="Cover 4-Date"/>
    <w:basedOn w:val="a"/>
    <w:rsid w:val="00D062A5"/>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D062A5"/>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D062A5"/>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D062A5"/>
    <w:pPr>
      <w:spacing w:before="120" w:after="120"/>
    </w:pPr>
    <w:rPr>
      <w:color w:val="FF0000"/>
      <w:w w:val="80"/>
    </w:rPr>
  </w:style>
  <w:style w:type="paragraph" w:styleId="a3">
    <w:name w:val="endnote text"/>
    <w:basedOn w:val="a"/>
    <w:semiHidden/>
    <w:rsid w:val="00D062A5"/>
    <w:pPr>
      <w:ind w:left="227" w:hanging="227"/>
    </w:pPr>
    <w:rPr>
      <w:sz w:val="14"/>
      <w:szCs w:val="22"/>
    </w:rPr>
  </w:style>
  <w:style w:type="paragraph" w:customStyle="1" w:styleId="TableText">
    <w:name w:val="Table Text"/>
    <w:basedOn w:val="a"/>
    <w:rsid w:val="00D062A5"/>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D062A5"/>
    <w:pPr>
      <w:outlineLvl w:val="2"/>
    </w:pPr>
  </w:style>
  <w:style w:type="paragraph" w:customStyle="1" w:styleId="TableBlock">
    <w:name w:val="Table Block"/>
    <w:basedOn w:val="TableText"/>
    <w:rsid w:val="00D062A5"/>
    <w:pPr>
      <w:jc w:val="both"/>
    </w:pPr>
  </w:style>
  <w:style w:type="paragraph" w:customStyle="1" w:styleId="TableHead">
    <w:name w:val="Table Head"/>
    <w:basedOn w:val="TableText"/>
    <w:rsid w:val="00D062A5"/>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D062A5"/>
    <w:pPr>
      <w:outlineLvl w:val="9"/>
    </w:pPr>
  </w:style>
  <w:style w:type="paragraph" w:customStyle="1" w:styleId="Hesber">
    <w:name w:val="Hesber"/>
    <w:basedOn w:val="a"/>
    <w:rsid w:val="00D062A5"/>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D062A5"/>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D062A5"/>
    <w:rPr>
      <w:vertAlign w:val="superscript"/>
    </w:rPr>
  </w:style>
  <w:style w:type="paragraph" w:customStyle="1" w:styleId="HesberHeading">
    <w:name w:val="Hesber Heading"/>
    <w:basedOn w:val="Hesber"/>
    <w:rsid w:val="00D062A5"/>
    <w:pPr>
      <w:tabs>
        <w:tab w:val="left" w:pos="624"/>
        <w:tab w:val="left" w:pos="1247"/>
      </w:tabs>
    </w:pPr>
    <w:rPr>
      <w:b/>
      <w:bCs/>
    </w:rPr>
  </w:style>
  <w:style w:type="paragraph" w:customStyle="1" w:styleId="HesberWriters">
    <w:name w:val="Hesber Writers"/>
    <w:basedOn w:val="Hesber"/>
    <w:rsid w:val="00D062A5"/>
    <w:pPr>
      <w:spacing w:before="120" w:after="120"/>
      <w:ind w:left="1418"/>
      <w:jc w:val="right"/>
    </w:pPr>
    <w:rPr>
      <w:b/>
      <w:bCs/>
    </w:rPr>
  </w:style>
  <w:style w:type="paragraph" w:customStyle="1" w:styleId="Hesber1st">
    <w:name w:val="Hesber 1st"/>
    <w:basedOn w:val="Hesber"/>
    <w:rsid w:val="00D062A5"/>
    <w:pPr>
      <w:tabs>
        <w:tab w:val="left" w:pos="680"/>
        <w:tab w:val="left" w:pos="1020"/>
      </w:tabs>
      <w:ind w:firstLine="0"/>
    </w:pPr>
  </w:style>
  <w:style w:type="character" w:styleId="a7">
    <w:name w:val="endnote reference"/>
    <w:basedOn w:val="a0"/>
    <w:semiHidden/>
    <w:rsid w:val="00D062A5"/>
    <w:rPr>
      <w:vertAlign w:val="superscript"/>
    </w:rPr>
  </w:style>
  <w:style w:type="paragraph" w:customStyle="1" w:styleId="TableBlockOutdent">
    <w:name w:val="Table BlockOutdent"/>
    <w:basedOn w:val="TableBlock"/>
    <w:rsid w:val="00D062A5"/>
    <w:pPr>
      <w:ind w:left="624" w:hanging="624"/>
    </w:pPr>
  </w:style>
  <w:style w:type="paragraph" w:styleId="a8">
    <w:name w:val="header"/>
    <w:basedOn w:val="a"/>
    <w:rsid w:val="00D062A5"/>
    <w:pPr>
      <w:tabs>
        <w:tab w:val="center" w:pos="4153"/>
        <w:tab w:val="right" w:pos="8306"/>
      </w:tabs>
    </w:pPr>
  </w:style>
  <w:style w:type="paragraph" w:styleId="a9">
    <w:name w:val="footer"/>
    <w:basedOn w:val="a"/>
    <w:rsid w:val="00D062A5"/>
    <w:pPr>
      <w:tabs>
        <w:tab w:val="center" w:pos="4153"/>
        <w:tab w:val="right" w:pos="8306"/>
      </w:tabs>
    </w:pPr>
  </w:style>
  <w:style w:type="paragraph" w:customStyle="1" w:styleId="HeadDivreiHesber">
    <w:name w:val="Head DivreiHesber"/>
    <w:basedOn w:val="a"/>
    <w:rsid w:val="00D062A5"/>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D062A5"/>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D062A5"/>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paragraph" w:styleId="ae">
    <w:name w:val="List Paragraph"/>
    <w:basedOn w:val="a"/>
    <w:uiPriority w:val="34"/>
    <w:qFormat/>
    <w:rsid w:val="00D062A5"/>
    <w:pPr>
      <w:widowControl/>
      <w:spacing w:line="259" w:lineRule="auto"/>
    </w:pPr>
    <w:rPr>
      <w:rFonts w:asciiTheme="minorHAnsi" w:hAnsiTheme="minorHAnsi"/>
      <w:sz w:val="22"/>
    </w:rPr>
  </w:style>
  <w:style w:type="character" w:customStyle="1" w:styleId="10">
    <w:name w:val="כותרת 1 תו"/>
    <w:basedOn w:val="a0"/>
    <w:link w:val="1"/>
    <w:uiPriority w:val="9"/>
    <w:rsid w:val="00D062A5"/>
    <w:rPr>
      <w:rFonts w:asciiTheme="majorHAnsi" w:eastAsiaTheme="majorEastAsia" w:hAnsiTheme="majorHAnsi" w:cs="David"/>
      <w:bCs/>
      <w:sz w:val="32"/>
      <w:szCs w:val="36"/>
    </w:rPr>
  </w:style>
  <w:style w:type="character" w:customStyle="1" w:styleId="20">
    <w:name w:val="כותרת 2 תו"/>
    <w:basedOn w:val="a0"/>
    <w:link w:val="2"/>
    <w:rsid w:val="00D062A5"/>
    <w:rPr>
      <w:rFonts w:asciiTheme="majorHAnsi" w:eastAsiaTheme="majorEastAsia" w:hAnsiTheme="majorHAnsi" w:cs="David"/>
      <w:bCs/>
      <w:sz w:val="26"/>
      <w:szCs w:val="36"/>
      <w:u w:val="single"/>
    </w:rPr>
  </w:style>
  <w:style w:type="character" w:customStyle="1" w:styleId="30">
    <w:name w:val="כותרת 3 תו"/>
    <w:basedOn w:val="a0"/>
    <w:link w:val="3"/>
    <w:rsid w:val="00D062A5"/>
    <w:rPr>
      <w:rFonts w:asciiTheme="majorHAnsi" w:eastAsiaTheme="majorEastAsia" w:hAnsiTheme="majorHAnsi" w:cs="David"/>
      <w:sz w:val="24"/>
      <w:szCs w:val="28"/>
      <w:u w:val="double"/>
    </w:rPr>
  </w:style>
  <w:style w:type="character" w:customStyle="1" w:styleId="40">
    <w:name w:val="כותרת 4 תו"/>
    <w:basedOn w:val="a0"/>
    <w:link w:val="4"/>
    <w:uiPriority w:val="9"/>
    <w:rsid w:val="00D062A5"/>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D062A5"/>
    <w:rPr>
      <w:rFonts w:ascii="David" w:eastAsiaTheme="minorHAnsi" w:hAnsi="David" w:cs="David"/>
      <w:color w:val="000000" w:themeColor="text1"/>
      <w:sz w:val="24"/>
      <w:szCs w:val="24"/>
    </w:rPr>
  </w:style>
  <w:style w:type="paragraph" w:styleId="af">
    <w:name w:val="TOC Heading"/>
    <w:basedOn w:val="1"/>
    <w:next w:val="a"/>
    <w:uiPriority w:val="39"/>
    <w:unhideWhenUsed/>
    <w:qFormat/>
    <w:rsid w:val="00D062A5"/>
    <w:pPr>
      <w:widowControl/>
      <w:spacing w:before="120" w:after="120"/>
      <w:outlineLvl w:val="9"/>
    </w:pPr>
    <w:rPr>
      <w:rtl/>
      <w:cs/>
    </w:rPr>
  </w:style>
  <w:style w:type="paragraph" w:styleId="TOC1">
    <w:name w:val="toc 1"/>
    <w:basedOn w:val="a"/>
    <w:next w:val="a"/>
    <w:autoRedefine/>
    <w:uiPriority w:val="39"/>
    <w:unhideWhenUsed/>
    <w:rsid w:val="00D062A5"/>
    <w:pPr>
      <w:tabs>
        <w:tab w:val="right" w:leader="dot" w:pos="9629"/>
      </w:tabs>
      <w:spacing w:after="100"/>
    </w:pPr>
    <w:rPr>
      <w:bCs/>
      <w:szCs w:val="22"/>
    </w:rPr>
  </w:style>
  <w:style w:type="paragraph" w:styleId="TOC2">
    <w:name w:val="toc 2"/>
    <w:basedOn w:val="a"/>
    <w:next w:val="a"/>
    <w:uiPriority w:val="39"/>
    <w:unhideWhenUsed/>
    <w:rsid w:val="00D062A5"/>
    <w:pPr>
      <w:tabs>
        <w:tab w:val="right" w:leader="dot" w:pos="9628"/>
      </w:tabs>
      <w:spacing w:after="100"/>
    </w:pPr>
    <w:rPr>
      <w:szCs w:val="22"/>
    </w:rPr>
  </w:style>
  <w:style w:type="character" w:styleId="Hyperlink">
    <w:name w:val="Hyperlink"/>
    <w:basedOn w:val="a0"/>
    <w:uiPriority w:val="99"/>
    <w:unhideWhenUsed/>
    <w:rsid w:val="00D062A5"/>
    <w:rPr>
      <w:color w:val="0000FF" w:themeColor="hyperlink"/>
      <w:u w:val="single"/>
    </w:rPr>
  </w:style>
  <w:style w:type="paragraph" w:styleId="TOC3">
    <w:name w:val="toc 3"/>
    <w:basedOn w:val="a"/>
    <w:next w:val="a"/>
    <w:uiPriority w:val="39"/>
    <w:unhideWhenUsed/>
    <w:rsid w:val="00D062A5"/>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D062A5"/>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D062A5"/>
    <w:pPr>
      <w:tabs>
        <w:tab w:val="right" w:leader="dot" w:pos="9628"/>
      </w:tabs>
      <w:spacing w:after="100"/>
      <w:ind w:left="567"/>
    </w:pPr>
    <w:rPr>
      <w:szCs w:val="22"/>
    </w:rPr>
  </w:style>
  <w:style w:type="paragraph" w:styleId="TOC6">
    <w:name w:val="toc 6"/>
    <w:basedOn w:val="a"/>
    <w:next w:val="a"/>
    <w:autoRedefine/>
    <w:semiHidden/>
    <w:unhideWhenUsed/>
    <w:rsid w:val="00D062A5"/>
    <w:pPr>
      <w:spacing w:after="100"/>
      <w:ind w:left="850"/>
    </w:pPr>
  </w:style>
  <w:style w:type="paragraph" w:styleId="TOC7">
    <w:name w:val="toc 7"/>
    <w:basedOn w:val="a"/>
    <w:next w:val="a"/>
    <w:autoRedefine/>
    <w:semiHidden/>
    <w:unhideWhenUsed/>
    <w:rsid w:val="00D062A5"/>
    <w:pPr>
      <w:spacing w:after="100"/>
      <w:ind w:left="1020"/>
    </w:pPr>
  </w:style>
  <w:style w:type="paragraph" w:styleId="TOC8">
    <w:name w:val="toc 8"/>
    <w:basedOn w:val="a"/>
    <w:next w:val="a"/>
    <w:autoRedefine/>
    <w:semiHidden/>
    <w:unhideWhenUsed/>
    <w:rsid w:val="00D062A5"/>
    <w:pPr>
      <w:spacing w:after="100"/>
      <w:ind w:left="1190"/>
    </w:pPr>
  </w:style>
  <w:style w:type="paragraph" w:styleId="TOC9">
    <w:name w:val="toc 9"/>
    <w:basedOn w:val="a"/>
    <w:next w:val="a"/>
    <w:autoRedefine/>
    <w:semiHidden/>
    <w:unhideWhenUsed/>
    <w:rsid w:val="00D062A5"/>
    <w:pPr>
      <w:spacing w:after="100"/>
      <w:ind w:left="1360"/>
    </w:pPr>
  </w:style>
  <w:style w:type="paragraph" w:customStyle="1" w:styleId="TableHead2">
    <w:name w:val="Table Head2"/>
    <w:basedOn w:val="TableHead"/>
    <w:qFormat/>
    <w:rsid w:val="00D062A5"/>
    <w:pPr>
      <w:outlineLvl w:val="9"/>
    </w:pPr>
  </w:style>
  <w:style w:type="paragraph" w:customStyle="1" w:styleId="TableSideHeading2">
    <w:name w:val="Table SideHeading2"/>
    <w:basedOn w:val="TableSideHeading"/>
    <w:autoRedefine/>
    <w:qFormat/>
    <w:rsid w:val="00D062A5"/>
    <w:pPr>
      <w:keepLines w:val="0"/>
      <w:outlineLvl w:val="9"/>
    </w:pPr>
  </w:style>
  <w:style w:type="paragraph" w:customStyle="1" w:styleId="0">
    <w:name w:val="סגנון שורה ראשונה:  0  ס''מ"/>
    <w:basedOn w:val="2"/>
    <w:rsid w:val="00D062A5"/>
    <w:rPr>
      <w:rFonts w:eastAsia="Times New Roman"/>
    </w:rPr>
  </w:style>
  <w:style w:type="table" w:styleId="af0">
    <w:name w:val="Table Grid"/>
    <w:basedOn w:val="a1"/>
    <w:rsid w:val="00D0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D062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D062A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D062A5"/>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D062A5"/>
    <w:tblPr/>
    <w:tblStylePr w:type="firstCol">
      <w:pPr>
        <w:keepNext w:val="0"/>
        <w:keepLines/>
        <w:pageBreakBefore w:val="0"/>
        <w:widowControl w:val="0"/>
        <w:suppressLineNumbers w:val="0"/>
        <w:suppressAutoHyphens w:val="0"/>
        <w:wordWrap/>
      </w:pPr>
    </w:tblStylePr>
  </w:style>
  <w:style w:type="character" w:customStyle="1" w:styleId="a5">
    <w:name w:val="טקסט הערת שוליים תו"/>
    <w:basedOn w:val="a0"/>
    <w:link w:val="a4"/>
    <w:semiHidden/>
    <w:rsid w:val="005907A6"/>
    <w:rPr>
      <w:rFonts w:ascii="Arial" w:eastAsia="Arial Unicode MS" w:hAnsi="Arial" w:cs="David"/>
      <w:snapToGrid w:val="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072650">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C6836-83A7-4ECE-85AC-A3DF11A47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6B35C8BD-B3B8-4D2B-8317-56E2EBDB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482</Words>
  <Characters>2749</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31</cp:revision>
  <cp:lastPrinted>2020-07-01T11:59:00Z</cp:lastPrinted>
  <dcterms:created xsi:type="dcterms:W3CDTF">2015-04-20T09:58:00Z</dcterms:created>
  <dcterms:modified xsi:type="dcterms:W3CDTF">2020-07-02T05:43:00Z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2087651</vt:r8>
  </property>
</Properties>
</file>