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2088353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אופיר כץ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רם בן ברק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יזהר שי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טלי </w:t>
      </w:r>
      <w:proofErr w:type="spellStart"/>
      <w:r>
        <w:rPr>
          <w:rFonts w:hint="cs"/>
          <w:b/>
          <w:bCs/>
          <w:rtl/>
        </w:rPr>
        <w:t>פלוסקוב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מיכל שיר </w:t>
      </w:r>
      <w:proofErr w:type="spellStart"/>
      <w:r>
        <w:rPr>
          <w:rFonts w:hint="cs"/>
          <w:b/>
          <w:bCs/>
          <w:rtl/>
        </w:rPr>
        <w:t>סגמן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קטי </w:t>
      </w:r>
      <w:proofErr w:type="spellStart"/>
      <w:r>
        <w:rPr>
          <w:rFonts w:hint="cs"/>
          <w:b/>
          <w:bCs/>
          <w:rtl/>
        </w:rPr>
        <w:t>קטרין</w:t>
      </w:r>
      <w:proofErr w:type="spellEnd"/>
      <w:r>
        <w:rPr>
          <w:rFonts w:hint="cs"/>
          <w:b/>
          <w:bCs/>
          <w:rtl/>
        </w:rPr>
        <w:t xml:space="preserve"> שטרית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מאי גולן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מכלוף</w:t>
      </w:r>
      <w:proofErr w:type="spellEnd"/>
      <w:r>
        <w:rPr>
          <w:rFonts w:hint="cs"/>
          <w:b/>
          <w:bCs/>
          <w:rtl/>
        </w:rPr>
        <w:t xml:space="preserve"> מיקי זוהר</w:t>
      </w:r>
      <w:bookmarkEnd w:id="3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4" w:name="Private_Number"/>
      <w:r>
        <w:rPr>
          <w:rFonts w:hint="cs"/>
          <w:rtl/>
        </w:rPr>
        <w:t>פ/1482/23</w:t>
      </w:r>
      <w:bookmarkEnd w:id="4"/>
    </w:p>
    <w:p w14:paraId="7F6961AD" w14:textId="77777777" w:rsidR="00E13C27" w:rsidRDefault="00A443CF" w:rsidP="0021633A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 xml:space="preserve">הצעת חוק העונשין (תיקון – תקיפת עובד חירום),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 xml:space="preserve">–2020 </w:t>
      </w:r>
      <w:bookmarkEnd w:id="5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</w:tblGrid>
      <w:tr w:rsidR="00BF0F6F" w:rsidRPr="00067209" w14:paraId="3F960412" w14:textId="77777777" w:rsidTr="00BF0F6F">
        <w:trPr>
          <w:cantSplit/>
          <w:trHeight w:val="60"/>
        </w:trPr>
        <w:tc>
          <w:tcPr>
            <w:tcW w:w="1871" w:type="dxa"/>
          </w:tcPr>
          <w:p w14:paraId="6C33EF6F" w14:textId="77777777" w:rsidR="00BF0F6F" w:rsidRPr="00067209" w:rsidRDefault="00BF0F6F" w:rsidP="000A7394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תיקון סעיף 382א </w:t>
            </w:r>
          </w:p>
        </w:tc>
        <w:tc>
          <w:tcPr>
            <w:tcW w:w="624" w:type="dxa"/>
          </w:tcPr>
          <w:p w14:paraId="1F755935" w14:textId="77777777" w:rsidR="00BF0F6F" w:rsidRPr="00067209" w:rsidRDefault="00BF0F6F" w:rsidP="000A7394">
            <w:pPr>
              <w:numPr>
                <w:ilvl w:val="0"/>
                <w:numId w:val="12"/>
              </w:numPr>
              <w:tabs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contextualSpacing/>
              <w:jc w:val="left"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</w:p>
        </w:tc>
        <w:tc>
          <w:tcPr>
            <w:tcW w:w="7146" w:type="dxa"/>
            <w:gridSpan w:val="2"/>
          </w:tcPr>
          <w:p w14:paraId="73EBFEAC" w14:textId="77777777" w:rsidR="00BF0F6F" w:rsidRPr="00067209" w:rsidRDefault="00BF0F6F" w:rsidP="000A7394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  <w:r w:rsidRPr="00067209"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בחוק העונשין, </w:t>
            </w:r>
            <w:proofErr w:type="spellStart"/>
            <w:r w:rsidRPr="00067209"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התשל"ז</w:t>
            </w:r>
            <w:proofErr w:type="spellEnd"/>
            <w:r w:rsidRPr="00067209"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–1977</w:t>
            </w:r>
            <w:r w:rsidRPr="00EE4A4F">
              <w:rPr>
                <w:rStyle w:val="a6"/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footnoteReference w:id="2"/>
            </w: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, ב</w:t>
            </w:r>
            <w:r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סעיף 382א</w:t>
            </w: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, בסופו </w:t>
            </w:r>
            <w:r w:rsidRPr="00067209"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יבוא:</w:t>
            </w:r>
          </w:p>
        </w:tc>
      </w:tr>
      <w:tr w:rsidR="00FA25AE" w:rsidRPr="00067209" w14:paraId="5CB47AB1" w14:textId="77777777" w:rsidTr="00BF0F6F">
        <w:trPr>
          <w:cantSplit/>
          <w:trHeight w:val="60"/>
        </w:trPr>
        <w:tc>
          <w:tcPr>
            <w:tcW w:w="1871" w:type="dxa"/>
          </w:tcPr>
          <w:p w14:paraId="7926FC7B" w14:textId="77777777" w:rsidR="00FA25AE" w:rsidRDefault="00FA25AE" w:rsidP="00FA25AE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</w:p>
        </w:tc>
        <w:tc>
          <w:tcPr>
            <w:tcW w:w="624" w:type="dxa"/>
          </w:tcPr>
          <w:p w14:paraId="67B0E1A2" w14:textId="77777777" w:rsidR="00FA25AE" w:rsidRPr="00BF0F6F" w:rsidRDefault="00FA25AE" w:rsidP="00FA25AE">
            <w:pPr>
              <w:tabs>
                <w:tab w:val="num" w:pos="0"/>
              </w:tabs>
              <w:autoSpaceDE/>
              <w:autoSpaceDN/>
              <w:adjustRightInd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</w:p>
        </w:tc>
        <w:tc>
          <w:tcPr>
            <w:tcW w:w="7146" w:type="dxa"/>
            <w:gridSpan w:val="2"/>
          </w:tcPr>
          <w:p w14:paraId="07CCF3E0" w14:textId="664EA27C" w:rsidR="00FA25AE" w:rsidRPr="00067209" w:rsidRDefault="00FA25AE" w:rsidP="00FA25AE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"(ה)</w:t>
            </w:r>
            <w:r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ab/>
            </w: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העובר עבירה לפי סעיף קטן (א) כלפי עובד חירום, לא יפחת עונשו מחודש ימים, אלא אם כן החליט בית המשפט, מטעמים מיוחדים שיירשמו, להקל בעונשו.</w:t>
            </w:r>
          </w:p>
        </w:tc>
      </w:tr>
      <w:tr w:rsidR="00FA25AE" w:rsidRPr="00067209" w14:paraId="5E5E8A2C" w14:textId="77777777" w:rsidTr="00BF0F6F">
        <w:trPr>
          <w:cantSplit/>
          <w:trHeight w:val="60"/>
        </w:trPr>
        <w:tc>
          <w:tcPr>
            <w:tcW w:w="1871" w:type="dxa"/>
          </w:tcPr>
          <w:p w14:paraId="12D3B97C" w14:textId="77777777" w:rsidR="00FA25AE" w:rsidRDefault="00FA25AE" w:rsidP="00FA25AE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</w:p>
        </w:tc>
        <w:tc>
          <w:tcPr>
            <w:tcW w:w="624" w:type="dxa"/>
          </w:tcPr>
          <w:p w14:paraId="5F7F9413" w14:textId="77777777" w:rsidR="00FA25AE" w:rsidRPr="00BF0F6F" w:rsidRDefault="00FA25AE" w:rsidP="00FA25AE">
            <w:pPr>
              <w:tabs>
                <w:tab w:val="num" w:pos="0"/>
              </w:tabs>
              <w:autoSpaceDE/>
              <w:autoSpaceDN/>
              <w:adjustRightInd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</w:p>
        </w:tc>
        <w:tc>
          <w:tcPr>
            <w:tcW w:w="7146" w:type="dxa"/>
            <w:gridSpan w:val="2"/>
          </w:tcPr>
          <w:p w14:paraId="3C60886D" w14:textId="72852507" w:rsidR="00FA25AE" w:rsidRDefault="00FA25AE" w:rsidP="00FA25AE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(ו)</w:t>
            </w:r>
            <w:r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ab/>
            </w: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העובר עבירה לפי סעיפים קטנים (ב) או (ג) כלפי עובד חירום, לא יפחת עונשו משלושה חודשים, אלא אם כן החליט בית המשפט, מטעמים מיוחדים שיירשמו, להקל בעונשו."</w:t>
            </w:r>
          </w:p>
        </w:tc>
      </w:tr>
      <w:tr w:rsidR="00BF0F6F" w:rsidRPr="00067209" w14:paraId="4B4718D3" w14:textId="77777777" w:rsidTr="00BF0F6F">
        <w:trPr>
          <w:cantSplit/>
          <w:trHeight w:val="60"/>
        </w:trPr>
        <w:tc>
          <w:tcPr>
            <w:tcW w:w="1871" w:type="dxa"/>
          </w:tcPr>
          <w:p w14:paraId="6BE7AC3F" w14:textId="77777777" w:rsidR="00BF0F6F" w:rsidRDefault="00BF0F6F" w:rsidP="000A7394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</w:p>
        </w:tc>
        <w:tc>
          <w:tcPr>
            <w:tcW w:w="624" w:type="dxa"/>
          </w:tcPr>
          <w:p w14:paraId="31C7ED2A" w14:textId="77777777" w:rsidR="00BF0F6F" w:rsidRPr="00BF0F6F" w:rsidRDefault="00BF0F6F" w:rsidP="00BF0F6F">
            <w:pPr>
              <w:tabs>
                <w:tab w:val="num" w:pos="0"/>
              </w:tabs>
              <w:autoSpaceDE/>
              <w:autoSpaceDN/>
              <w:adjustRightInd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lang w:eastAsia="en-US"/>
              </w:rPr>
            </w:pPr>
            <w:r w:rsidRPr="00BF0F6F"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2.</w:t>
            </w:r>
          </w:p>
        </w:tc>
        <w:tc>
          <w:tcPr>
            <w:tcW w:w="7146" w:type="dxa"/>
            <w:gridSpan w:val="2"/>
          </w:tcPr>
          <w:p w14:paraId="5DE23CE5" w14:textId="77777777" w:rsidR="00BF0F6F" w:rsidRDefault="00BF0F6F" w:rsidP="000A7394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בסעיף קטן (ג) – </w:t>
            </w:r>
          </w:p>
        </w:tc>
      </w:tr>
      <w:tr w:rsidR="00BF0F6F" w:rsidRPr="00067209" w14:paraId="7503AB25" w14:textId="77777777" w:rsidTr="00BF0F6F">
        <w:trPr>
          <w:cantSplit/>
          <w:trHeight w:val="60"/>
        </w:trPr>
        <w:tc>
          <w:tcPr>
            <w:tcW w:w="1871" w:type="dxa"/>
          </w:tcPr>
          <w:p w14:paraId="01902542" w14:textId="77777777" w:rsidR="00BF0F6F" w:rsidRDefault="00BF0F6F" w:rsidP="000A7394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</w:p>
        </w:tc>
        <w:tc>
          <w:tcPr>
            <w:tcW w:w="624" w:type="dxa"/>
          </w:tcPr>
          <w:p w14:paraId="11F1F6D9" w14:textId="77777777" w:rsidR="00BF0F6F" w:rsidRPr="00BF0F6F" w:rsidRDefault="00BF0F6F" w:rsidP="00BF0F6F">
            <w:pPr>
              <w:tabs>
                <w:tab w:val="num" w:pos="0"/>
              </w:tabs>
              <w:autoSpaceDE/>
              <w:autoSpaceDN/>
              <w:adjustRightInd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</w:p>
        </w:tc>
        <w:tc>
          <w:tcPr>
            <w:tcW w:w="7146" w:type="dxa"/>
            <w:gridSpan w:val="2"/>
          </w:tcPr>
          <w:p w14:paraId="0A979A35" w14:textId="77777777" w:rsidR="00BF0F6F" w:rsidRDefault="00BF0F6F" w:rsidP="000A7394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(1)</w:t>
            </w:r>
            <w:r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ab/>
            </w: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בהגדרה "עובד חירום", לפני "רופא" יבוא "כבאי";</w:t>
            </w:r>
          </w:p>
        </w:tc>
      </w:tr>
      <w:tr w:rsidR="00BF0F6F" w:rsidRPr="00067209" w14:paraId="0A667942" w14:textId="77777777" w:rsidTr="00BF0F6F">
        <w:trPr>
          <w:cantSplit/>
          <w:trHeight w:val="60"/>
        </w:trPr>
        <w:tc>
          <w:tcPr>
            <w:tcW w:w="1871" w:type="dxa"/>
          </w:tcPr>
          <w:p w14:paraId="28C9A25E" w14:textId="77777777" w:rsidR="00BF0F6F" w:rsidRDefault="00BF0F6F" w:rsidP="000A7394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jc w:val="left"/>
              <w:textAlignment w:val="auto"/>
              <w:outlineLvl w:val="2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</w:p>
        </w:tc>
        <w:tc>
          <w:tcPr>
            <w:tcW w:w="624" w:type="dxa"/>
          </w:tcPr>
          <w:p w14:paraId="5A66AC04" w14:textId="77777777" w:rsidR="00BF0F6F" w:rsidRPr="00BF0F6F" w:rsidRDefault="00BF0F6F" w:rsidP="00BF0F6F">
            <w:pPr>
              <w:tabs>
                <w:tab w:val="num" w:pos="0"/>
              </w:tabs>
              <w:autoSpaceDE/>
              <w:autoSpaceDN/>
              <w:adjustRightInd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</w:p>
        </w:tc>
        <w:tc>
          <w:tcPr>
            <w:tcW w:w="7146" w:type="dxa"/>
            <w:gridSpan w:val="2"/>
          </w:tcPr>
          <w:p w14:paraId="2FE1F450" w14:textId="77777777" w:rsidR="00BF0F6F" w:rsidRDefault="00BF0F6F" w:rsidP="000A7394">
            <w:pPr>
              <w:tabs>
                <w:tab w:val="left" w:pos="624"/>
                <w:tab w:val="left" w:pos="1247"/>
              </w:tabs>
              <w:autoSpaceDE/>
              <w:autoSpaceDN/>
              <w:adjustRightInd/>
              <w:snapToGrid w:val="0"/>
              <w:spacing w:before="0" w:line="360" w:lineRule="auto"/>
              <w:ind w:firstLine="0"/>
              <w:contextualSpacing/>
              <w:textAlignment w:val="auto"/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</w:pP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>(2)</w:t>
            </w:r>
            <w:r>
              <w:rPr>
                <w:rFonts w:ascii="Arial" w:eastAsia="Arial Unicode MS" w:hAnsi="Arial" w:cs="David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ab/>
            </w:r>
            <w:r>
              <w:rPr>
                <w:rFonts w:ascii="Arial" w:eastAsia="Arial Unicode MS" w:hAnsi="Arial" w:cs="David" w:hint="cs"/>
                <w:snapToGrid w:val="0"/>
                <w:color w:val="auto"/>
                <w:spacing w:val="0"/>
                <w:sz w:val="20"/>
                <w:szCs w:val="26"/>
                <w:rtl/>
                <w:lang w:eastAsia="en-US"/>
              </w:rPr>
              <w:t xml:space="preserve">אחרי ההגדרה "מד"א" יבוא: </w:t>
            </w:r>
          </w:p>
        </w:tc>
      </w:tr>
      <w:tr w:rsidR="00FA25AE" w14:paraId="27F80770" w14:textId="77777777">
        <w:trPr>
          <w:cantSplit/>
          <w:trHeight w:val="60"/>
        </w:trPr>
        <w:tc>
          <w:tcPr>
            <w:tcW w:w="1871" w:type="dxa"/>
          </w:tcPr>
          <w:p w14:paraId="568BA862" w14:textId="77777777" w:rsidR="00FA25AE" w:rsidRDefault="00FA25AE">
            <w:pPr>
              <w:pStyle w:val="TableSideHeading"/>
            </w:pPr>
          </w:p>
        </w:tc>
        <w:tc>
          <w:tcPr>
            <w:tcW w:w="624" w:type="dxa"/>
          </w:tcPr>
          <w:p w14:paraId="46C7A7D8" w14:textId="77777777" w:rsidR="00FA25AE" w:rsidRDefault="00FA25AE">
            <w:pPr>
              <w:pStyle w:val="TableText"/>
            </w:pPr>
          </w:p>
        </w:tc>
        <w:tc>
          <w:tcPr>
            <w:tcW w:w="624" w:type="dxa"/>
          </w:tcPr>
          <w:p w14:paraId="747EE70D" w14:textId="77777777" w:rsidR="00FA25AE" w:rsidRDefault="00FA25AE">
            <w:pPr>
              <w:pStyle w:val="TableText"/>
            </w:pPr>
          </w:p>
        </w:tc>
        <w:tc>
          <w:tcPr>
            <w:tcW w:w="6522" w:type="dxa"/>
          </w:tcPr>
          <w:p w14:paraId="4372D8E8" w14:textId="4C499CB3" w:rsidR="00FA25AE" w:rsidRPr="00FA25AE" w:rsidRDefault="00FA25AE" w:rsidP="008F7BFF">
            <w:pPr>
              <w:pStyle w:val="TableBlockOutdent"/>
            </w:pPr>
            <w:r w:rsidRPr="00D32883">
              <w:rPr>
                <w:rtl/>
                <w:lang w:eastAsia="en-US"/>
              </w:rPr>
              <w:t>""כבאי"</w:t>
            </w:r>
            <w:r>
              <w:rPr>
                <w:rFonts w:hint="cs"/>
                <w:rtl/>
                <w:lang w:eastAsia="en-US"/>
              </w:rPr>
              <w:t xml:space="preserve"> </w:t>
            </w:r>
            <w:r w:rsidRPr="00D32883">
              <w:rPr>
                <w:rtl/>
                <w:lang w:eastAsia="en-US"/>
              </w:rPr>
              <w:t>–</w:t>
            </w:r>
            <w:r>
              <w:rPr>
                <w:rFonts w:hint="cs"/>
                <w:rtl/>
                <w:lang w:eastAsia="en-US"/>
              </w:rPr>
              <w:t xml:space="preserve"> </w:t>
            </w:r>
            <w:r w:rsidRPr="008F7BFF">
              <w:rPr>
                <w:rtl/>
              </w:rPr>
              <w:t>כהגדרתו</w:t>
            </w:r>
            <w:r w:rsidRPr="00D32883">
              <w:rPr>
                <w:rtl/>
                <w:lang w:eastAsia="en-US"/>
              </w:rPr>
              <w:t xml:space="preserve"> בחוק הרשות ה</w:t>
            </w:r>
            <w:r>
              <w:rPr>
                <w:rtl/>
                <w:lang w:eastAsia="en-US"/>
              </w:rPr>
              <w:t xml:space="preserve">ארצית לכבאות והצלה, </w:t>
            </w:r>
            <w:proofErr w:type="spellStart"/>
            <w:r>
              <w:rPr>
                <w:rtl/>
                <w:lang w:eastAsia="en-US"/>
              </w:rPr>
              <w:t>התשע"ב</w:t>
            </w:r>
            <w:proofErr w:type="spellEnd"/>
            <w:r>
              <w:rPr>
                <w:rtl/>
                <w:lang w:eastAsia="en-US"/>
              </w:rPr>
              <w:t>–</w:t>
            </w:r>
            <w:r>
              <w:rPr>
                <w:rFonts w:hint="cs"/>
                <w:rtl/>
                <w:lang w:eastAsia="en-US"/>
              </w:rPr>
              <w:t xml:space="preserve">  </w:t>
            </w:r>
            <w:r>
              <w:rPr>
                <w:rtl/>
                <w:lang w:eastAsia="en-US"/>
              </w:rPr>
              <w:t>2012</w:t>
            </w:r>
            <w:r w:rsidRPr="00027653">
              <w:rPr>
                <w:rStyle w:val="a6"/>
                <w:color w:val="auto"/>
                <w:rtl/>
                <w:lang w:eastAsia="en-US"/>
              </w:rPr>
              <w:footnoteReference w:id="3"/>
            </w:r>
            <w:r>
              <w:rPr>
                <w:rFonts w:hint="cs"/>
                <w:rtl/>
                <w:lang w:eastAsia="en-US"/>
              </w:rPr>
              <w:t>.</w:t>
            </w:r>
            <w:r w:rsidRPr="00D32883">
              <w:rPr>
                <w:rtl/>
                <w:lang w:eastAsia="en-US"/>
              </w:rPr>
              <w:t>"</w:t>
            </w:r>
          </w:p>
        </w:tc>
      </w:tr>
    </w:tbl>
    <w:p w14:paraId="0D3DB627" w14:textId="77777777" w:rsidR="008F4195" w:rsidRDefault="008F4195" w:rsidP="008F4195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257073F9" w14:textId="35F0636B" w:rsidR="008F4195" w:rsidRPr="00F3057C" w:rsidRDefault="008F4195" w:rsidP="00F3057C">
      <w:pPr>
        <w:pStyle w:val="Hesber"/>
        <w:rPr>
          <w:rtl/>
        </w:rPr>
      </w:pPr>
      <w:r w:rsidRPr="00F3057C">
        <w:rPr>
          <w:rFonts w:hint="cs"/>
          <w:rtl/>
        </w:rPr>
        <w:t xml:space="preserve">מוצע בהצעת חוק זו </w:t>
      </w:r>
      <w:r w:rsidR="00BF0F6F" w:rsidRPr="00F3057C">
        <w:rPr>
          <w:rFonts w:hint="cs"/>
          <w:rtl/>
        </w:rPr>
        <w:t xml:space="preserve">לתקן </w:t>
      </w:r>
      <w:r w:rsidRPr="00F3057C">
        <w:rPr>
          <w:rFonts w:hint="cs"/>
          <w:rtl/>
        </w:rPr>
        <w:t xml:space="preserve">את סעיף </w:t>
      </w:r>
      <w:r w:rsidR="00BF0F6F" w:rsidRPr="00F3057C">
        <w:rPr>
          <w:rFonts w:hint="cs"/>
          <w:rtl/>
        </w:rPr>
        <w:t xml:space="preserve">382א </w:t>
      </w:r>
      <w:r w:rsidRPr="00F3057C">
        <w:rPr>
          <w:rFonts w:hint="cs"/>
          <w:rtl/>
        </w:rPr>
        <w:t xml:space="preserve">לחוק העונשין, </w:t>
      </w:r>
      <w:proofErr w:type="spellStart"/>
      <w:r w:rsidRPr="00F3057C">
        <w:rPr>
          <w:rFonts w:hint="cs"/>
          <w:rtl/>
        </w:rPr>
        <w:t>התשל"ז</w:t>
      </w:r>
      <w:proofErr w:type="spellEnd"/>
      <w:r w:rsidRPr="00F3057C">
        <w:rPr>
          <w:rFonts w:hint="eastAsia"/>
          <w:rtl/>
        </w:rPr>
        <w:t>–</w:t>
      </w:r>
      <w:r w:rsidRPr="00F3057C">
        <w:rPr>
          <w:rFonts w:hint="cs"/>
          <w:rtl/>
        </w:rPr>
        <w:t>1977.</w:t>
      </w:r>
      <w:r w:rsidR="00F3057C">
        <w:rPr>
          <w:rFonts w:hint="cs"/>
          <w:rtl/>
        </w:rPr>
        <w:t xml:space="preserve"> </w:t>
      </w:r>
      <w:r w:rsidRPr="00F3057C">
        <w:rPr>
          <w:rFonts w:hint="cs"/>
          <w:rtl/>
        </w:rPr>
        <w:t xml:space="preserve">תקיפה פיזית ומילולית של </w:t>
      </w:r>
      <w:r w:rsidR="00D359FE" w:rsidRPr="00F3057C">
        <w:rPr>
          <w:rFonts w:hint="cs"/>
          <w:rtl/>
        </w:rPr>
        <w:t>עובדי</w:t>
      </w:r>
      <w:r w:rsidRPr="00F3057C">
        <w:rPr>
          <w:rFonts w:hint="cs"/>
          <w:rtl/>
        </w:rPr>
        <w:t xml:space="preserve"> חירום בעת מילוי תפקידם היא תופעה בזויה שיש להוקיעה. מטרת הצעת החוק היא להרתיע את </w:t>
      </w:r>
      <w:r w:rsidRPr="00F3057C">
        <w:rPr>
          <w:rFonts w:hint="cs"/>
          <w:rtl/>
        </w:rPr>
        <w:lastRenderedPageBreak/>
        <w:t xml:space="preserve">פורעי החוק, ולהצהיר כי </w:t>
      </w:r>
      <w:r w:rsidR="00D359FE" w:rsidRPr="00F3057C">
        <w:rPr>
          <w:rFonts w:hint="cs"/>
          <w:rtl/>
        </w:rPr>
        <w:t>עובדי</w:t>
      </w:r>
      <w:r w:rsidRPr="00F3057C">
        <w:rPr>
          <w:rFonts w:hint="cs"/>
          <w:rtl/>
        </w:rPr>
        <w:t xml:space="preserve"> החירום וההצלה של מדינת ישראל אינם הפקר, וכי הפוגע בהם ייענש בחומרה. </w:t>
      </w:r>
      <w:bookmarkStart w:id="6" w:name="_GoBack"/>
      <w:bookmarkEnd w:id="6"/>
      <w:r w:rsidRPr="00F3057C">
        <w:rPr>
          <w:rFonts w:hint="cs"/>
          <w:rtl/>
        </w:rPr>
        <w:t>בסעיפים 273 ו-274</w:t>
      </w:r>
      <w:r w:rsidR="00D359FE" w:rsidRPr="00F3057C">
        <w:rPr>
          <w:rFonts w:hint="cs"/>
          <w:rtl/>
        </w:rPr>
        <w:t xml:space="preserve"> לחוק העונשין</w:t>
      </w:r>
      <w:r w:rsidRPr="00F3057C">
        <w:rPr>
          <w:rFonts w:hint="cs"/>
          <w:rtl/>
        </w:rPr>
        <w:t xml:space="preserve"> מוגדר עונש מינימלי לעבירת תקיפת שוטר</w:t>
      </w:r>
      <w:r w:rsidR="00D359FE" w:rsidRPr="00F3057C">
        <w:rPr>
          <w:rFonts w:hint="cs"/>
          <w:rtl/>
        </w:rPr>
        <w:t>;</w:t>
      </w:r>
      <w:r w:rsidRPr="00F3057C">
        <w:rPr>
          <w:rFonts w:hint="cs"/>
          <w:rtl/>
        </w:rPr>
        <w:t xml:space="preserve"> הצוותים הרפואיים, כוחות מגן דוד אדום ולוחמי האש עובדים ימים ולילות על מנת להגן על תושבי המדינה, וראוי להגן גם עליהם. </w:t>
      </w:r>
      <w:r w:rsidR="00D359FE" w:rsidRPr="00F3057C">
        <w:rPr>
          <w:rFonts w:hint="cs"/>
          <w:rtl/>
        </w:rPr>
        <w:t>אדם ה</w:t>
      </w:r>
      <w:r w:rsidRPr="00F3057C">
        <w:rPr>
          <w:rFonts w:hint="cs"/>
          <w:rtl/>
        </w:rPr>
        <w:t xml:space="preserve">תוקף עובד חירום מלמד בהתנהגותו שהוא מהווה סכנה לחברה ולכן יש להטיל עליו עונש מאסר </w:t>
      </w:r>
      <w:proofErr w:type="spellStart"/>
      <w:r w:rsidRPr="00F3057C">
        <w:rPr>
          <w:rFonts w:hint="cs"/>
          <w:rtl/>
        </w:rPr>
        <w:t>ש</w:t>
      </w:r>
      <w:r w:rsidR="00807EDF" w:rsidRPr="00F3057C">
        <w:rPr>
          <w:rFonts w:hint="cs"/>
          <w:rtl/>
        </w:rPr>
        <w:t>ככזה</w:t>
      </w:r>
      <w:proofErr w:type="spellEnd"/>
      <w:r w:rsidR="00807EDF" w:rsidRPr="00F3057C">
        <w:rPr>
          <w:rFonts w:hint="cs"/>
          <w:rtl/>
        </w:rPr>
        <w:t xml:space="preserve"> </w:t>
      </w:r>
      <w:r w:rsidRPr="00F3057C">
        <w:rPr>
          <w:rFonts w:hint="cs"/>
          <w:rtl/>
        </w:rPr>
        <w:t>יש בו אלמנט הרתעתי</w:t>
      </w:r>
      <w:r w:rsidR="00807EDF" w:rsidRPr="00F3057C">
        <w:rPr>
          <w:rFonts w:hint="cs"/>
          <w:rtl/>
        </w:rPr>
        <w:t>.</w:t>
      </w:r>
      <w:r w:rsidRPr="00F3057C">
        <w:rPr>
          <w:rFonts w:hint="cs"/>
          <w:rtl/>
        </w:rPr>
        <w:t xml:space="preserve"> בשל כך מוצע לקבוע עונש מינימלי גם לעבירות מסוג זה, וזאת כדי לעקור תופעה זו מהשורש.</w:t>
      </w:r>
    </w:p>
    <w:p w14:paraId="0270CC19" w14:textId="77777777" w:rsidR="008F7BFF" w:rsidRDefault="008F7BFF" w:rsidP="00D359FE">
      <w:pPr>
        <w:pStyle w:val="Hesber"/>
        <w:rPr>
          <w:rtl/>
        </w:rPr>
      </w:pPr>
    </w:p>
    <w:p w14:paraId="3C5283D8" w14:textId="77777777" w:rsidR="008F7BFF" w:rsidRDefault="008F7BFF" w:rsidP="00D359FE">
      <w:pPr>
        <w:pStyle w:val="Hesber"/>
        <w:rPr>
          <w:rtl/>
        </w:rPr>
      </w:pPr>
    </w:p>
    <w:p w14:paraId="3441FECA" w14:textId="77777777" w:rsidR="008F7BFF" w:rsidRPr="00D73212" w:rsidRDefault="008F7BFF" w:rsidP="008F7BFF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62D867B1" w14:textId="77777777" w:rsidR="008F7BFF" w:rsidRPr="0051670D" w:rsidRDefault="008F7BFF" w:rsidP="008F7BFF">
      <w:pPr>
        <w:pStyle w:val="Hesber"/>
        <w:ind w:firstLine="0"/>
        <w:rPr>
          <w:color w:val="auto"/>
          <w:sz w:val="26"/>
          <w:rtl/>
          <w:lang w:eastAsia="en-US"/>
        </w:rPr>
      </w:pPr>
      <w:r w:rsidRPr="0051670D">
        <w:rPr>
          <w:rFonts w:hint="cs"/>
          <w:color w:val="auto"/>
          <w:sz w:val="26"/>
          <w:rtl/>
          <w:lang w:eastAsia="en-US"/>
        </w:rPr>
        <w:t>הוגשה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ליו</w:t>
      </w:r>
      <w:r w:rsidRPr="0051670D">
        <w:rPr>
          <w:color w:val="auto"/>
          <w:sz w:val="26"/>
          <w:rtl/>
          <w:lang w:eastAsia="en-US"/>
        </w:rPr>
        <w:t>"</w:t>
      </w:r>
      <w:r w:rsidRPr="0051670D">
        <w:rPr>
          <w:rFonts w:hint="cs"/>
          <w:color w:val="auto"/>
          <w:sz w:val="26"/>
          <w:rtl/>
          <w:lang w:eastAsia="en-US"/>
        </w:rPr>
        <w:t>ר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הכנסת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והסגנים</w:t>
      </w:r>
    </w:p>
    <w:p w14:paraId="230EE91D" w14:textId="77777777" w:rsidR="008F7BFF" w:rsidRPr="0051670D" w:rsidRDefault="008F7BFF" w:rsidP="008F7BFF">
      <w:pPr>
        <w:pStyle w:val="Hesber"/>
        <w:ind w:firstLine="0"/>
        <w:rPr>
          <w:color w:val="auto"/>
          <w:sz w:val="26"/>
          <w:rtl/>
          <w:lang w:eastAsia="en-US"/>
        </w:rPr>
      </w:pPr>
      <w:r w:rsidRPr="0051670D">
        <w:rPr>
          <w:rFonts w:hint="cs"/>
          <w:color w:val="auto"/>
          <w:sz w:val="26"/>
          <w:rtl/>
          <w:lang w:eastAsia="en-US"/>
        </w:rPr>
        <w:t>והונחה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על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שולחן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הכנסת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ביום</w:t>
      </w:r>
    </w:p>
    <w:p w14:paraId="0E11C206" w14:textId="77777777" w:rsidR="008F7BFF" w:rsidRPr="0051670D" w:rsidRDefault="008F7BFF" w:rsidP="008F7BFF">
      <w:pPr>
        <w:pStyle w:val="Hesber"/>
        <w:ind w:firstLine="0"/>
        <w:rPr>
          <w:sz w:val="26"/>
          <w:rtl/>
        </w:rPr>
      </w:pPr>
      <w:r>
        <w:rPr>
          <w:rFonts w:hint="cs"/>
          <w:color w:val="auto"/>
          <w:rtl/>
          <w:lang w:eastAsia="en-US"/>
        </w:rPr>
        <w:t>י"ד</w:t>
      </w:r>
      <w:r w:rsidRPr="0051670D">
        <w:rPr>
          <w:rFonts w:hint="cs"/>
          <w:color w:val="auto"/>
          <w:sz w:val="26"/>
          <w:rtl/>
          <w:lang w:eastAsia="en-US"/>
        </w:rPr>
        <w:t xml:space="preserve"> ב</w:t>
      </w:r>
      <w:r>
        <w:rPr>
          <w:rFonts w:hint="cs"/>
          <w:color w:val="auto"/>
          <w:sz w:val="26"/>
          <w:rtl/>
          <w:lang w:eastAsia="en-US"/>
        </w:rPr>
        <w:t>תמוז</w:t>
      </w:r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proofErr w:type="spellStart"/>
      <w:r w:rsidRPr="0051670D">
        <w:rPr>
          <w:rFonts w:hint="cs"/>
          <w:color w:val="auto"/>
          <w:sz w:val="26"/>
          <w:rtl/>
          <w:lang w:eastAsia="en-US"/>
        </w:rPr>
        <w:t>התש"ף</w:t>
      </w:r>
      <w:proofErr w:type="spellEnd"/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r w:rsidRPr="0051670D">
        <w:rPr>
          <w:color w:val="auto"/>
          <w:sz w:val="26"/>
          <w:rtl/>
          <w:lang w:eastAsia="en-US"/>
        </w:rPr>
        <w:t>–</w:t>
      </w:r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r>
        <w:rPr>
          <w:rFonts w:hint="cs"/>
          <w:color w:val="auto"/>
          <w:sz w:val="26"/>
          <w:rtl/>
          <w:lang w:eastAsia="en-US"/>
        </w:rPr>
        <w:t>6.7.20</w:t>
      </w:r>
    </w:p>
    <w:p w14:paraId="4498C81E" w14:textId="77777777" w:rsidR="008F7BFF" w:rsidRPr="00D359FE" w:rsidRDefault="008F7BFF" w:rsidP="00D359FE">
      <w:pPr>
        <w:pStyle w:val="Hesber"/>
        <w:rPr>
          <w:rtl/>
        </w:rPr>
      </w:pPr>
    </w:p>
    <w:p w14:paraId="661DE9E0" w14:textId="77777777" w:rsidR="008F4195" w:rsidRDefault="008F4195" w:rsidP="008F4195">
      <w:pPr>
        <w:pStyle w:val="Hesber"/>
        <w:rPr>
          <w:rtl/>
        </w:rPr>
      </w:pPr>
    </w:p>
    <w:p w14:paraId="7F6961CB" w14:textId="057D9F89" w:rsidR="00E13C27" w:rsidRDefault="00E13C27" w:rsidP="008F4195">
      <w:pPr>
        <w:pStyle w:val="HeadDivreiHesber"/>
        <w:jc w:val="both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F3057C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37B5A0FF" w14:textId="77777777" w:rsidR="00BF0F6F" w:rsidRDefault="00BF0F6F" w:rsidP="00BF0F6F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התשל"ז</w:t>
      </w:r>
      <w:proofErr w:type="spellEnd"/>
      <w:r>
        <w:rPr>
          <w:rFonts w:hint="cs"/>
          <w:rtl/>
        </w:rPr>
        <w:t>, 226.</w:t>
      </w:r>
    </w:p>
  </w:footnote>
  <w:footnote w:id="3">
    <w:p w14:paraId="3F0D6D40" w14:textId="77777777" w:rsidR="00FA25AE" w:rsidRDefault="00FA25AE" w:rsidP="00FA25AE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התשע"ב</w:t>
      </w:r>
      <w:proofErr w:type="spellEnd"/>
      <w:r>
        <w:rPr>
          <w:rFonts w:hint="cs"/>
          <w:rtl/>
        </w:rPr>
        <w:t>, עמ' 702.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67209"/>
    <w:rsid w:val="00072CAC"/>
    <w:rsid w:val="0007681A"/>
    <w:rsid w:val="000A542E"/>
    <w:rsid w:val="000B1F60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930C6"/>
    <w:rsid w:val="001A0623"/>
    <w:rsid w:val="001B40FC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56E4E"/>
    <w:rsid w:val="0036422C"/>
    <w:rsid w:val="003710F6"/>
    <w:rsid w:val="00386E88"/>
    <w:rsid w:val="00392CBD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4E7E6C"/>
    <w:rsid w:val="0051409B"/>
    <w:rsid w:val="00553C9D"/>
    <w:rsid w:val="00562A66"/>
    <w:rsid w:val="005B064E"/>
    <w:rsid w:val="005D51AE"/>
    <w:rsid w:val="005E02FD"/>
    <w:rsid w:val="00616C12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B5B91"/>
    <w:rsid w:val="007C35B2"/>
    <w:rsid w:val="007C3FA6"/>
    <w:rsid w:val="007D585A"/>
    <w:rsid w:val="007D5A12"/>
    <w:rsid w:val="007E59F9"/>
    <w:rsid w:val="00807EDF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B207E"/>
    <w:rsid w:val="008C2DDC"/>
    <w:rsid w:val="008C70E3"/>
    <w:rsid w:val="008C7516"/>
    <w:rsid w:val="008E6EC7"/>
    <w:rsid w:val="008F0D63"/>
    <w:rsid w:val="008F1308"/>
    <w:rsid w:val="008F2C35"/>
    <w:rsid w:val="008F4195"/>
    <w:rsid w:val="008F6665"/>
    <w:rsid w:val="008F7BFF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5449"/>
    <w:rsid w:val="009A7257"/>
    <w:rsid w:val="009C0E19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D56D0"/>
    <w:rsid w:val="00B10265"/>
    <w:rsid w:val="00B16A99"/>
    <w:rsid w:val="00B21211"/>
    <w:rsid w:val="00B35784"/>
    <w:rsid w:val="00B733A7"/>
    <w:rsid w:val="00B75C91"/>
    <w:rsid w:val="00B975AD"/>
    <w:rsid w:val="00BC45FB"/>
    <w:rsid w:val="00BE64BD"/>
    <w:rsid w:val="00BF0F6F"/>
    <w:rsid w:val="00BF148D"/>
    <w:rsid w:val="00BF2CA2"/>
    <w:rsid w:val="00C23B1A"/>
    <w:rsid w:val="00C310EB"/>
    <w:rsid w:val="00C403BB"/>
    <w:rsid w:val="00C717AB"/>
    <w:rsid w:val="00C9176A"/>
    <w:rsid w:val="00CF1AA2"/>
    <w:rsid w:val="00D142D3"/>
    <w:rsid w:val="00D17774"/>
    <w:rsid w:val="00D359FE"/>
    <w:rsid w:val="00D35F21"/>
    <w:rsid w:val="00D54EB0"/>
    <w:rsid w:val="00D63620"/>
    <w:rsid w:val="00D8410D"/>
    <w:rsid w:val="00D867D7"/>
    <w:rsid w:val="00DB7060"/>
    <w:rsid w:val="00DE3153"/>
    <w:rsid w:val="00DF3DAA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73B1E"/>
    <w:rsid w:val="00EA01E6"/>
    <w:rsid w:val="00EA3DE8"/>
    <w:rsid w:val="00EA758F"/>
    <w:rsid w:val="00ED4A6F"/>
    <w:rsid w:val="00EE4A4F"/>
    <w:rsid w:val="00EF3A3A"/>
    <w:rsid w:val="00F3057C"/>
    <w:rsid w:val="00F628D6"/>
    <w:rsid w:val="00F67051"/>
    <w:rsid w:val="00F86A1E"/>
    <w:rsid w:val="00FA25A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6B693C2E-0556-4D6C-8231-FD112654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8F4195"/>
    <w:rPr>
      <w:rFonts w:ascii="Arial" w:eastAsia="Arial Unicode MS" w:hAnsi="Arial" w:cs="David"/>
      <w:snapToGrid w:val="0"/>
      <w:color w:val="000000"/>
      <w:sz w:val="14"/>
      <w:lang w:eastAsia="ja-JP"/>
    </w:rPr>
  </w:style>
  <w:style w:type="paragraph" w:customStyle="1" w:styleId="p00">
    <w:name w:val="p00"/>
    <w:basedOn w:val="a"/>
    <w:rsid w:val="008F4195"/>
    <w:pPr>
      <w:widowControl/>
      <w:autoSpaceDE/>
      <w:autoSpaceDN/>
      <w:bidi w:val="0"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356E4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356E4E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356E4E"/>
    <w:rPr>
      <w:rFonts w:ascii="Hadasa Roso SL" w:hAnsi="Hadasa Roso SL" w:cs="Hadasa Roso SL"/>
      <w:color w:val="000000"/>
      <w:spacing w:val="1"/>
      <w:lang w:eastAsia="ja-JP"/>
    </w:rPr>
  </w:style>
  <w:style w:type="paragraph" w:styleId="af1">
    <w:name w:val="annotation subject"/>
    <w:basedOn w:val="af"/>
    <w:next w:val="af"/>
    <w:link w:val="af2"/>
    <w:semiHidden/>
    <w:unhideWhenUsed/>
    <w:rsid w:val="00356E4E"/>
    <w:rPr>
      <w:b/>
      <w:bCs/>
    </w:rPr>
  </w:style>
  <w:style w:type="character" w:customStyle="1" w:styleId="af2">
    <w:name w:val="נושא הערה תו"/>
    <w:basedOn w:val="af0"/>
    <w:link w:val="af1"/>
    <w:semiHidden/>
    <w:rsid w:val="00356E4E"/>
    <w:rPr>
      <w:rFonts w:ascii="Hadasa Roso SL" w:hAnsi="Hadasa Roso SL" w:cs="Hadasa Roso SL"/>
      <w:b/>
      <w:bCs/>
      <w:color w:val="000000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C0FD-8D25-4BFF-A4A4-4619F64BA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4277BD-A9EA-454C-AA35-821061FA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30</cp:revision>
  <cp:lastPrinted>2020-06-29T06:29:00Z</cp:lastPrinted>
  <dcterms:created xsi:type="dcterms:W3CDTF">2015-04-20T09:58:00Z</dcterms:created>
  <dcterms:modified xsi:type="dcterms:W3CDTF">2020-07-02T06:01:00Z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2088353</vt:r8>
  </property>
</Properties>
</file>