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2087244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ושלוש</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אילת שקד</w:t>
      </w:r>
      <w:r>
        <w:br/>
      </w:r>
      <w:r>
        <w:rPr>
          <w:rFonts w:hint="cs"/>
          <w:b/>
          <w:bCs/>
          <w:rtl/>
        </w:rPr>
        <w:t xml:space="preserve"> </w:t>
      </w:r>
      <w:r>
        <w:tab/>
      </w:r>
      <w:r>
        <w:tab/>
      </w:r>
      <w:r>
        <w:tab/>
      </w:r>
      <w:r>
        <w:tab/>
      </w:r>
      <w:r>
        <w:rPr>
          <w:rFonts w:hint="cs"/>
          <w:b/>
          <w:bCs/>
          <w:rtl/>
        </w:rPr>
        <w:t>אופיר סופר</w:t>
      </w:r>
      <w:r>
        <w:br/>
      </w:r>
      <w:r>
        <w:rPr>
          <w:rFonts w:hint="cs"/>
          <w:b/>
          <w:bCs/>
          <w:rtl/>
        </w:rPr>
        <w:t xml:space="preserve"> </w:t>
      </w:r>
      <w:r>
        <w:tab/>
      </w:r>
      <w:r>
        <w:tab/>
      </w:r>
      <w:r>
        <w:tab/>
      </w:r>
      <w:r>
        <w:tab/>
      </w:r>
      <w:r>
        <w:rPr>
          <w:rFonts w:hint="cs"/>
          <w:b/>
          <w:bCs/>
          <w:rtl/>
        </w:rPr>
        <w:t>מתן כהנא</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פ/1262/23</w:t>
      </w:r>
      <w:bookmarkEnd w:id="6"/>
    </w:p>
    <w:p w14:paraId="7F6961AC" w14:textId="77777777" w:rsidR="00E13C27" w:rsidRDefault="00E13C27" w:rsidP="00E13C27">
      <w:pPr>
        <w:spacing w:before="0" w:line="360" w:lineRule="auto"/>
        <w:ind w:left="2880" w:firstLine="720"/>
        <w:rPr>
          <w:rFonts w:cs="David"/>
          <w:sz w:val="26"/>
          <w:szCs w:val="26"/>
          <w:rtl/>
        </w:rPr>
      </w:pPr>
    </w:p>
    <w:p w14:paraId="7F6961AE" w14:textId="499629AC" w:rsidR="00E13C27" w:rsidRDefault="00A443CF" w:rsidP="00D6593B">
      <w:pPr>
        <w:pStyle w:val="HeadHatzaotHok"/>
        <w:rPr>
          <w:rtl/>
        </w:rPr>
      </w:pPr>
      <w:bookmarkStart w:id="7" w:name="LGS_Subject"/>
      <w:r>
        <w:rPr>
          <w:rFonts w:hint="cs"/>
          <w:rtl/>
        </w:rPr>
        <w:t>הצעת חוק-יסוד: השפיטה (תיקון – פסקת התגברות)</w:t>
      </w:r>
      <w:bookmarkEnd w:id="7"/>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7612E9" w14:paraId="5351BACC" w14:textId="77777777" w:rsidTr="007612E9">
        <w:trPr>
          <w:cantSplit/>
          <w:trHeight w:val="60"/>
        </w:trPr>
        <w:tc>
          <w:tcPr>
            <w:tcW w:w="1871" w:type="dxa"/>
          </w:tcPr>
          <w:p w14:paraId="69FDFE5D" w14:textId="74029D30" w:rsidR="007612E9" w:rsidRPr="00236B3F" w:rsidRDefault="007612E9" w:rsidP="005819A5">
            <w:pPr>
              <w:pStyle w:val="TableInnerSideHeading"/>
              <w:ind w:right="0"/>
            </w:pPr>
            <w:r w:rsidRPr="00A9576B">
              <w:rPr>
                <w:rFonts w:hint="cs"/>
                <w:rtl/>
              </w:rPr>
              <w:t xml:space="preserve">תיקון </w:t>
            </w:r>
            <w:r w:rsidRPr="002F6EC7">
              <w:rPr>
                <w:rFonts w:hint="cs"/>
                <w:rtl/>
              </w:rPr>
              <w:t>סעיף 15</w:t>
            </w:r>
          </w:p>
        </w:tc>
        <w:tc>
          <w:tcPr>
            <w:tcW w:w="624" w:type="dxa"/>
          </w:tcPr>
          <w:p w14:paraId="501412D8" w14:textId="4379FBE3" w:rsidR="007612E9" w:rsidRPr="008F3A22" w:rsidRDefault="008F3A22" w:rsidP="008F3A22">
            <w:pPr>
              <w:pStyle w:val="TableText"/>
              <w:ind w:right="0"/>
              <w:jc w:val="both"/>
            </w:pPr>
            <w:r w:rsidRPr="008F3A22">
              <w:rPr>
                <w:rFonts w:hint="cs"/>
                <w:rtl/>
              </w:rPr>
              <w:t xml:space="preserve">1. </w:t>
            </w:r>
          </w:p>
        </w:tc>
        <w:tc>
          <w:tcPr>
            <w:tcW w:w="7146" w:type="dxa"/>
            <w:gridSpan w:val="5"/>
          </w:tcPr>
          <w:p w14:paraId="2D23D93D" w14:textId="089F2A2B" w:rsidR="007612E9" w:rsidRPr="00236B3F" w:rsidRDefault="00AB6F48" w:rsidP="00A15DF1">
            <w:pPr>
              <w:pStyle w:val="TableBlock"/>
            </w:pPr>
            <w:r w:rsidRPr="00A9576B">
              <w:rPr>
                <w:rtl/>
              </w:rPr>
              <w:t>בחוק-יסוד: השפיטה</w:t>
            </w:r>
            <w:r w:rsidR="002F6EC7">
              <w:rPr>
                <w:rFonts w:hint="cs"/>
                <w:rtl/>
              </w:rPr>
              <w:t xml:space="preserve"> (להלן – </w:t>
            </w:r>
            <w:r w:rsidR="00A15DF1">
              <w:rPr>
                <w:rFonts w:hint="cs"/>
                <w:rtl/>
              </w:rPr>
              <w:t>חוק היסוד</w:t>
            </w:r>
            <w:r w:rsidR="002F6EC7">
              <w:rPr>
                <w:rFonts w:hint="cs"/>
                <w:rtl/>
              </w:rPr>
              <w:t>)</w:t>
            </w:r>
            <w:r w:rsidR="00E73B91">
              <w:rPr>
                <w:rtl/>
              </w:rPr>
              <w:t>, בסעיף 15</w:t>
            </w:r>
            <w:r w:rsidR="007612E9" w:rsidRPr="002F6EC7">
              <w:rPr>
                <w:rtl/>
              </w:rPr>
              <w:t xml:space="preserve">, אחרי </w:t>
            </w:r>
            <w:r w:rsidR="00E73B91">
              <w:rPr>
                <w:rFonts w:hint="cs"/>
                <w:rtl/>
              </w:rPr>
              <w:t xml:space="preserve">סעיף קטן </w:t>
            </w:r>
            <w:r w:rsidR="007612E9" w:rsidRPr="002F6EC7">
              <w:rPr>
                <w:rtl/>
              </w:rPr>
              <w:t>(</w:t>
            </w:r>
            <w:r w:rsidR="00E73B91">
              <w:rPr>
                <w:rFonts w:hint="cs"/>
                <w:rtl/>
              </w:rPr>
              <w:t>ד</w:t>
            </w:r>
            <w:r w:rsidR="007612E9" w:rsidRPr="002F6EC7">
              <w:rPr>
                <w:rtl/>
              </w:rPr>
              <w:t>) יבוא:</w:t>
            </w:r>
          </w:p>
        </w:tc>
      </w:tr>
      <w:tr w:rsidR="00D6593B" w:rsidRPr="00C34DE2" w14:paraId="578690FC" w14:textId="77777777" w:rsidTr="00624E72">
        <w:trPr>
          <w:cantSplit/>
          <w:trHeight w:val="60"/>
        </w:trPr>
        <w:tc>
          <w:tcPr>
            <w:tcW w:w="1871" w:type="dxa"/>
          </w:tcPr>
          <w:p w14:paraId="09497DE5" w14:textId="77777777" w:rsidR="00D6593B" w:rsidRDefault="00D6593B" w:rsidP="00624E72">
            <w:pPr>
              <w:pStyle w:val="TableSideHeading"/>
              <w:keepLines w:val="0"/>
            </w:pPr>
          </w:p>
        </w:tc>
        <w:tc>
          <w:tcPr>
            <w:tcW w:w="624" w:type="dxa"/>
          </w:tcPr>
          <w:p w14:paraId="636F7A1A" w14:textId="77777777" w:rsidR="00D6593B" w:rsidRPr="008F3A22" w:rsidRDefault="00D6593B" w:rsidP="008F3A22">
            <w:pPr>
              <w:pStyle w:val="TableText"/>
            </w:pPr>
          </w:p>
        </w:tc>
        <w:tc>
          <w:tcPr>
            <w:tcW w:w="7146" w:type="dxa"/>
            <w:gridSpan w:val="5"/>
          </w:tcPr>
          <w:p w14:paraId="46AC3553" w14:textId="6E034878" w:rsidR="00D6593B" w:rsidRPr="00A9576B" w:rsidRDefault="00AB6F48" w:rsidP="005819A5">
            <w:pPr>
              <w:pStyle w:val="TableBlock"/>
            </w:pPr>
            <w:r w:rsidRPr="00A9576B">
              <w:rPr>
                <w:rFonts w:hint="cs"/>
                <w:rtl/>
              </w:rPr>
              <w:t>"</w:t>
            </w:r>
            <w:r w:rsidR="00E73B91">
              <w:rPr>
                <w:rFonts w:hint="cs"/>
                <w:rtl/>
              </w:rPr>
              <w:t>(ד1)</w:t>
            </w:r>
            <w:r w:rsidRPr="002F6EC7">
              <w:rPr>
                <w:rtl/>
              </w:rPr>
              <w:tab/>
            </w:r>
            <w:r w:rsidR="00C400EA">
              <w:rPr>
                <w:rFonts w:hint="cs"/>
                <w:rtl/>
              </w:rPr>
              <w:t>לא יזקק בית המשפט לבקשה לפי סעיף קטן (ד)</w:t>
            </w:r>
            <w:r w:rsidRPr="00236B3F">
              <w:rPr>
                <w:rFonts w:hint="cs"/>
                <w:rtl/>
              </w:rPr>
              <w:t xml:space="preserve"> שהמבקש בה לא הראה עניין אישי בנושא הבקשה; בסעיף זה, "עניין אישי" </w:t>
            </w:r>
            <w:r w:rsidRPr="00F11629">
              <w:rPr>
                <w:rFonts w:hint="eastAsia"/>
                <w:rtl/>
              </w:rPr>
              <w:t>–</w:t>
            </w:r>
            <w:r w:rsidR="002F6EC7" w:rsidRPr="00F11629">
              <w:rPr>
                <w:rFonts w:hint="cs"/>
                <w:rtl/>
              </w:rPr>
              <w:t xml:space="preserve"> פגיעה ישירה </w:t>
            </w:r>
            <w:r w:rsidRPr="00F11629">
              <w:rPr>
                <w:rFonts w:hint="cs"/>
                <w:rtl/>
              </w:rPr>
              <w:t xml:space="preserve">או חשש ממשי לפגיעה ישירה באינטרס פרטי של אדם </w:t>
            </w:r>
            <w:r w:rsidRPr="007E38A4">
              <w:rPr>
                <w:rFonts w:hint="eastAsia"/>
                <w:rtl/>
              </w:rPr>
              <w:t>–</w:t>
            </w:r>
          </w:p>
        </w:tc>
      </w:tr>
      <w:tr w:rsidR="00AB6F48" w14:paraId="128C6E6D" w14:textId="77777777">
        <w:trPr>
          <w:cantSplit/>
          <w:trHeight w:val="60"/>
        </w:trPr>
        <w:tc>
          <w:tcPr>
            <w:tcW w:w="1871" w:type="dxa"/>
          </w:tcPr>
          <w:p w14:paraId="4CC529C2" w14:textId="77777777" w:rsidR="00AB6F48" w:rsidRDefault="00AB6F48">
            <w:pPr>
              <w:pStyle w:val="TableSideHeading"/>
            </w:pPr>
          </w:p>
        </w:tc>
        <w:tc>
          <w:tcPr>
            <w:tcW w:w="624" w:type="dxa"/>
          </w:tcPr>
          <w:p w14:paraId="42DFCCF8" w14:textId="77777777" w:rsidR="00AB6F48" w:rsidRPr="008F3A22" w:rsidRDefault="00AB6F48" w:rsidP="008F3A22">
            <w:pPr>
              <w:pStyle w:val="TableText"/>
            </w:pPr>
          </w:p>
        </w:tc>
        <w:tc>
          <w:tcPr>
            <w:tcW w:w="624" w:type="dxa"/>
          </w:tcPr>
          <w:p w14:paraId="1EC7299A" w14:textId="77777777" w:rsidR="00AB6F48" w:rsidRDefault="00AB6F48">
            <w:pPr>
              <w:pStyle w:val="TableText"/>
            </w:pPr>
          </w:p>
        </w:tc>
        <w:tc>
          <w:tcPr>
            <w:tcW w:w="6522" w:type="dxa"/>
            <w:gridSpan w:val="4"/>
          </w:tcPr>
          <w:p w14:paraId="5993B4D0" w14:textId="78D5B6B7" w:rsidR="00AB6F48" w:rsidRDefault="00AB6F48" w:rsidP="001114A0">
            <w:pPr>
              <w:pStyle w:val="TableBlock"/>
            </w:pPr>
            <w:r w:rsidRPr="00C224B1">
              <w:rPr>
                <w:rFonts w:hint="cs"/>
                <w:rtl/>
              </w:rPr>
              <w:t>(</w:t>
            </w:r>
            <w:r w:rsidR="001114A0">
              <w:rPr>
                <w:rFonts w:hint="cs"/>
                <w:rtl/>
              </w:rPr>
              <w:t>1</w:t>
            </w:r>
            <w:r w:rsidRPr="00C224B1">
              <w:rPr>
                <w:rFonts w:hint="cs"/>
                <w:rtl/>
              </w:rPr>
              <w:t xml:space="preserve">) </w:t>
            </w:r>
            <w:r w:rsidRPr="00C224B1">
              <w:rPr>
                <w:rtl/>
              </w:rPr>
              <w:tab/>
            </w:r>
            <w:r w:rsidRPr="00C224B1">
              <w:rPr>
                <w:rFonts w:hint="cs"/>
                <w:rtl/>
              </w:rPr>
              <w:t xml:space="preserve">לעניין ארגון </w:t>
            </w:r>
            <w:r w:rsidRPr="00C224B1">
              <w:rPr>
                <w:rFonts w:hint="eastAsia"/>
                <w:rtl/>
              </w:rPr>
              <w:t>–</w:t>
            </w:r>
            <w:r w:rsidRPr="00C224B1">
              <w:rPr>
                <w:rFonts w:hint="cs"/>
                <w:rtl/>
              </w:rPr>
              <w:t xml:space="preserve"> אם האינטרס שנפגע או שעלול להיפגע הוא אינטרס משותף של חלק מחברי הארגון;</w:t>
            </w:r>
          </w:p>
        </w:tc>
      </w:tr>
      <w:tr w:rsidR="00AB6F48" w14:paraId="67ABC6F6" w14:textId="77777777">
        <w:trPr>
          <w:cantSplit/>
          <w:trHeight w:val="60"/>
        </w:trPr>
        <w:tc>
          <w:tcPr>
            <w:tcW w:w="1871" w:type="dxa"/>
          </w:tcPr>
          <w:p w14:paraId="15FFBB11" w14:textId="77777777" w:rsidR="00AB6F48" w:rsidRDefault="00AB6F48">
            <w:pPr>
              <w:pStyle w:val="TableSideHeading"/>
            </w:pPr>
          </w:p>
        </w:tc>
        <w:tc>
          <w:tcPr>
            <w:tcW w:w="624" w:type="dxa"/>
          </w:tcPr>
          <w:p w14:paraId="0EB82690" w14:textId="77777777" w:rsidR="00AB6F48" w:rsidRPr="008F3A22" w:rsidRDefault="00AB6F48" w:rsidP="008F3A22">
            <w:pPr>
              <w:pStyle w:val="TableText"/>
            </w:pPr>
          </w:p>
        </w:tc>
        <w:tc>
          <w:tcPr>
            <w:tcW w:w="624" w:type="dxa"/>
          </w:tcPr>
          <w:p w14:paraId="49AC1C4F" w14:textId="77777777" w:rsidR="00AB6F48" w:rsidRDefault="00AB6F48">
            <w:pPr>
              <w:pStyle w:val="TableText"/>
            </w:pPr>
          </w:p>
        </w:tc>
        <w:tc>
          <w:tcPr>
            <w:tcW w:w="6522" w:type="dxa"/>
            <w:gridSpan w:val="4"/>
          </w:tcPr>
          <w:p w14:paraId="6AC6CCCD" w14:textId="68789F38" w:rsidR="00AB6F48" w:rsidRPr="00C224B1" w:rsidRDefault="00AB6F48" w:rsidP="001114A0">
            <w:pPr>
              <w:pStyle w:val="TableBlock"/>
              <w:rPr>
                <w:rtl/>
              </w:rPr>
            </w:pPr>
            <w:r w:rsidRPr="00C224B1">
              <w:rPr>
                <w:rFonts w:hint="cs"/>
                <w:rtl/>
              </w:rPr>
              <w:t>(</w:t>
            </w:r>
            <w:r w:rsidR="001114A0">
              <w:rPr>
                <w:rFonts w:hint="cs"/>
                <w:rtl/>
              </w:rPr>
              <w:t>2</w:t>
            </w:r>
            <w:r w:rsidRPr="00C224B1">
              <w:rPr>
                <w:rFonts w:hint="cs"/>
                <w:rtl/>
              </w:rPr>
              <w:t>)</w:t>
            </w:r>
            <w:r w:rsidRPr="00C224B1">
              <w:rPr>
                <w:rtl/>
              </w:rPr>
              <w:tab/>
            </w:r>
            <w:r w:rsidRPr="00C224B1">
              <w:rPr>
                <w:rFonts w:hint="cs"/>
                <w:rtl/>
              </w:rPr>
              <w:t xml:space="preserve">לעניין רשות ציבורית </w:t>
            </w:r>
            <w:r w:rsidRPr="00C224B1">
              <w:rPr>
                <w:rFonts w:hint="eastAsia"/>
                <w:rtl/>
              </w:rPr>
              <w:t>–</w:t>
            </w:r>
            <w:r w:rsidRPr="00C224B1">
              <w:rPr>
                <w:rFonts w:hint="cs"/>
                <w:rtl/>
              </w:rPr>
              <w:t xml:space="preserve"> כהגדרתה בחוק חופש המידע, התשנ"ח </w:t>
            </w:r>
            <w:r w:rsidRPr="00C224B1">
              <w:rPr>
                <w:rtl/>
              </w:rPr>
              <w:t>–</w:t>
            </w:r>
            <w:r w:rsidRPr="00C224B1">
              <w:rPr>
                <w:rFonts w:hint="cs"/>
                <w:rtl/>
              </w:rPr>
              <w:t>1998</w:t>
            </w:r>
            <w:r w:rsidRPr="005819A5">
              <w:rPr>
                <w:vertAlign w:val="superscript"/>
                <w:rtl/>
              </w:rPr>
              <w:footnoteReference w:id="2"/>
            </w:r>
            <w:r w:rsidRPr="00C224B1">
              <w:rPr>
                <w:rtl/>
              </w:rPr>
              <w:t>,</w:t>
            </w:r>
            <w:r w:rsidRPr="00C224B1">
              <w:rPr>
                <w:rFonts w:hint="cs"/>
                <w:rtl/>
              </w:rPr>
              <w:t xml:space="preserve"> אינטרס ציבורי שהרשות ממונה עליו מכוח חיקוק;</w:t>
            </w:r>
            <w:r w:rsidR="002F6EC7">
              <w:rPr>
                <w:rFonts w:hint="cs"/>
                <w:rtl/>
              </w:rPr>
              <w:t xml:space="preserve"> ואולם, לא יראו </w:t>
            </w:r>
            <w:r w:rsidR="002F6EC7" w:rsidRPr="00C224B1">
              <w:rPr>
                <w:rFonts w:hint="cs"/>
                <w:rtl/>
              </w:rPr>
              <w:t xml:space="preserve">עניין אישי </w:t>
            </w:r>
            <w:r w:rsidR="002F6EC7">
              <w:rPr>
                <w:rFonts w:hint="cs"/>
                <w:rtl/>
              </w:rPr>
              <w:t xml:space="preserve">לפי סעיף זה, </w:t>
            </w:r>
            <w:r w:rsidR="002F6EC7" w:rsidRPr="00C224B1">
              <w:rPr>
                <w:rFonts w:hint="cs"/>
                <w:rtl/>
              </w:rPr>
              <w:t xml:space="preserve">אם הפגיעה </w:t>
            </w:r>
            <w:r w:rsidR="002F6EC7" w:rsidRPr="00C224B1">
              <w:rPr>
                <w:rFonts w:hint="eastAsia"/>
                <w:rtl/>
              </w:rPr>
              <w:t>הנטענת</w:t>
            </w:r>
            <w:r w:rsidR="002F6EC7" w:rsidRPr="00C224B1">
              <w:rPr>
                <w:rtl/>
              </w:rPr>
              <w:t xml:space="preserve"> </w:t>
            </w:r>
            <w:r w:rsidR="002F6EC7" w:rsidRPr="00C224B1">
              <w:rPr>
                <w:rFonts w:hint="eastAsia"/>
                <w:rtl/>
              </w:rPr>
              <w:t>משותפת</w:t>
            </w:r>
            <w:r w:rsidR="002F6EC7" w:rsidRPr="00C224B1">
              <w:rPr>
                <w:rtl/>
              </w:rPr>
              <w:t xml:space="preserve"> </w:t>
            </w:r>
            <w:r w:rsidR="002F6EC7" w:rsidRPr="00C224B1">
              <w:rPr>
                <w:rFonts w:hint="eastAsia"/>
                <w:rtl/>
              </w:rPr>
              <w:t>לכלל</w:t>
            </w:r>
            <w:r w:rsidR="002F6EC7" w:rsidRPr="00C224B1">
              <w:rPr>
                <w:rtl/>
              </w:rPr>
              <w:t xml:space="preserve"> </w:t>
            </w:r>
            <w:r w:rsidR="002F6EC7" w:rsidRPr="00C224B1">
              <w:rPr>
                <w:rFonts w:hint="eastAsia"/>
                <w:rtl/>
              </w:rPr>
              <w:t>הציבור</w:t>
            </w:r>
            <w:r w:rsidR="002F6EC7" w:rsidRPr="00C224B1">
              <w:rPr>
                <w:rtl/>
              </w:rPr>
              <w:t xml:space="preserve"> </w:t>
            </w:r>
            <w:r w:rsidR="002F6EC7" w:rsidRPr="00C224B1">
              <w:rPr>
                <w:rFonts w:hint="eastAsia"/>
                <w:rtl/>
              </w:rPr>
              <w:t>או</w:t>
            </w:r>
            <w:r w:rsidR="002F6EC7" w:rsidRPr="00C224B1">
              <w:rPr>
                <w:rtl/>
              </w:rPr>
              <w:t xml:space="preserve"> </w:t>
            </w:r>
            <w:r w:rsidR="002F6EC7" w:rsidRPr="00C224B1">
              <w:rPr>
                <w:rFonts w:hint="eastAsia"/>
                <w:rtl/>
              </w:rPr>
              <w:t>לקבוצה</w:t>
            </w:r>
            <w:r w:rsidR="002F6EC7" w:rsidRPr="00C224B1">
              <w:rPr>
                <w:rtl/>
              </w:rPr>
              <w:t xml:space="preserve"> </w:t>
            </w:r>
            <w:r w:rsidR="002F6EC7" w:rsidRPr="00C224B1">
              <w:rPr>
                <w:rFonts w:hint="eastAsia"/>
                <w:rtl/>
              </w:rPr>
              <w:t>בלתי</w:t>
            </w:r>
            <w:r w:rsidR="002F6EC7" w:rsidRPr="00C224B1">
              <w:rPr>
                <w:rtl/>
              </w:rPr>
              <w:t xml:space="preserve"> </w:t>
            </w:r>
            <w:r w:rsidR="002F6EC7" w:rsidRPr="00C224B1">
              <w:rPr>
                <w:rFonts w:hint="eastAsia"/>
                <w:rtl/>
              </w:rPr>
              <w:t>מסוימת</w:t>
            </w:r>
            <w:r w:rsidR="002F6EC7" w:rsidRPr="00C224B1">
              <w:rPr>
                <w:rtl/>
              </w:rPr>
              <w:t xml:space="preserve"> </w:t>
            </w:r>
            <w:r w:rsidR="002F6EC7" w:rsidRPr="00C224B1">
              <w:rPr>
                <w:rFonts w:hint="eastAsia"/>
                <w:rtl/>
              </w:rPr>
              <w:t>בו</w:t>
            </w:r>
            <w:r w:rsidR="002F6EC7" w:rsidRPr="00C224B1">
              <w:rPr>
                <w:rtl/>
              </w:rPr>
              <w:t>.</w:t>
            </w:r>
            <w:r w:rsidR="002F6EC7" w:rsidRPr="00C224B1">
              <w:rPr>
                <w:rFonts w:hint="cs"/>
                <w:rtl/>
              </w:rPr>
              <w:t>"</w:t>
            </w:r>
          </w:p>
        </w:tc>
      </w:tr>
      <w:tr w:rsidR="00D6593B" w:rsidRPr="00C34DE2" w14:paraId="781B4795" w14:textId="77777777" w:rsidTr="00624E72">
        <w:trPr>
          <w:cantSplit/>
          <w:trHeight w:val="60"/>
        </w:trPr>
        <w:tc>
          <w:tcPr>
            <w:tcW w:w="1871" w:type="dxa"/>
          </w:tcPr>
          <w:p w14:paraId="6074F999" w14:textId="2F53B50E" w:rsidR="00D6593B" w:rsidRPr="005819A5" w:rsidRDefault="00A738FE" w:rsidP="00897069">
            <w:pPr>
              <w:pStyle w:val="TableSideHeading"/>
              <w:ind w:right="0"/>
            </w:pPr>
            <w:r w:rsidRPr="005819A5">
              <w:rPr>
                <w:rFonts w:hint="cs"/>
                <w:rtl/>
              </w:rPr>
              <w:t>הוספת סעי</w:t>
            </w:r>
            <w:r w:rsidR="001114A0">
              <w:rPr>
                <w:rFonts w:hint="cs"/>
                <w:rtl/>
              </w:rPr>
              <w:t>פים</w:t>
            </w:r>
            <w:r w:rsidRPr="005819A5">
              <w:rPr>
                <w:rFonts w:hint="cs"/>
                <w:rtl/>
              </w:rPr>
              <w:t xml:space="preserve"> 15א</w:t>
            </w:r>
            <w:r w:rsidR="00D31739" w:rsidRPr="005819A5">
              <w:rPr>
                <w:rFonts w:hint="cs"/>
                <w:rtl/>
              </w:rPr>
              <w:t xml:space="preserve"> </w:t>
            </w:r>
            <w:r w:rsidR="001114A0">
              <w:rPr>
                <w:rFonts w:hint="cs"/>
                <w:rtl/>
              </w:rPr>
              <w:t>ו-</w:t>
            </w:r>
            <w:r w:rsidR="00AB6F48" w:rsidRPr="005819A5">
              <w:rPr>
                <w:rFonts w:hint="cs"/>
                <w:rtl/>
              </w:rPr>
              <w:t>15ב</w:t>
            </w:r>
          </w:p>
        </w:tc>
        <w:tc>
          <w:tcPr>
            <w:tcW w:w="624" w:type="dxa"/>
          </w:tcPr>
          <w:p w14:paraId="02984B90" w14:textId="58FE4D43" w:rsidR="00D6593B" w:rsidRPr="008F3A22" w:rsidRDefault="005819A5" w:rsidP="008F3A22">
            <w:pPr>
              <w:pStyle w:val="TableText"/>
            </w:pPr>
            <w:r w:rsidRPr="008F3A22">
              <w:rPr>
                <w:rFonts w:hint="cs"/>
                <w:rtl/>
              </w:rPr>
              <w:t>2.</w:t>
            </w:r>
          </w:p>
        </w:tc>
        <w:tc>
          <w:tcPr>
            <w:tcW w:w="7146" w:type="dxa"/>
            <w:gridSpan w:val="5"/>
          </w:tcPr>
          <w:p w14:paraId="68F2B406" w14:textId="1046DE0E" w:rsidR="00D6593B" w:rsidRPr="005819A5" w:rsidRDefault="00760EB6" w:rsidP="00A15DF1">
            <w:pPr>
              <w:pStyle w:val="TableBlock"/>
            </w:pPr>
            <w:r>
              <w:rPr>
                <w:rFonts w:hint="cs"/>
                <w:rtl/>
              </w:rPr>
              <w:t xml:space="preserve">אחרי סעיף 15 </w:t>
            </w:r>
            <w:r w:rsidR="00A15DF1">
              <w:rPr>
                <w:rFonts w:hint="cs"/>
                <w:rtl/>
              </w:rPr>
              <w:t>לחוק היסוד</w:t>
            </w:r>
            <w:bookmarkStart w:id="8" w:name="_GoBack"/>
            <w:bookmarkEnd w:id="8"/>
            <w:r w:rsidR="00AB6F48" w:rsidRPr="005819A5">
              <w:rPr>
                <w:rFonts w:hint="cs"/>
                <w:rtl/>
              </w:rPr>
              <w:t xml:space="preserve"> יבוא:</w:t>
            </w:r>
          </w:p>
        </w:tc>
      </w:tr>
      <w:tr w:rsidR="00D6593B" w14:paraId="61B9749B" w14:textId="77777777">
        <w:trPr>
          <w:cantSplit/>
          <w:trHeight w:val="60"/>
        </w:trPr>
        <w:tc>
          <w:tcPr>
            <w:tcW w:w="1871" w:type="dxa"/>
          </w:tcPr>
          <w:p w14:paraId="3A184F36" w14:textId="77777777" w:rsidR="00D6593B" w:rsidRDefault="00D6593B">
            <w:pPr>
              <w:pStyle w:val="TableSideHeading"/>
              <w:keepLines w:val="0"/>
            </w:pPr>
          </w:p>
        </w:tc>
        <w:tc>
          <w:tcPr>
            <w:tcW w:w="624" w:type="dxa"/>
          </w:tcPr>
          <w:p w14:paraId="51A3A761" w14:textId="77777777" w:rsidR="00D6593B" w:rsidRPr="008F3A22" w:rsidRDefault="00D6593B" w:rsidP="008F3A22">
            <w:pPr>
              <w:pStyle w:val="TableText"/>
            </w:pPr>
          </w:p>
        </w:tc>
        <w:tc>
          <w:tcPr>
            <w:tcW w:w="1872" w:type="dxa"/>
            <w:gridSpan w:val="3"/>
          </w:tcPr>
          <w:p w14:paraId="0E590923" w14:textId="668BEC1F" w:rsidR="00D6593B" w:rsidRPr="00D6593B" w:rsidRDefault="00D6593B" w:rsidP="00D6593B">
            <w:pPr>
              <w:pStyle w:val="TableInnerSideHeading"/>
            </w:pPr>
            <w:r w:rsidRPr="00D6593B">
              <w:rPr>
                <w:rFonts w:hint="cs"/>
                <w:rtl/>
              </w:rPr>
              <w:t>"ביקורת שיפוטית על תוקפם של חוקים</w:t>
            </w:r>
          </w:p>
        </w:tc>
        <w:tc>
          <w:tcPr>
            <w:tcW w:w="624" w:type="dxa"/>
          </w:tcPr>
          <w:p w14:paraId="08C02F7A" w14:textId="73001E00" w:rsidR="00D6593B" w:rsidRPr="00C15D30" w:rsidRDefault="00D6593B" w:rsidP="00C15D30">
            <w:pPr>
              <w:pStyle w:val="TableBlock"/>
            </w:pPr>
            <w:r w:rsidRPr="00C15D30">
              <w:rPr>
                <w:rFonts w:hint="cs"/>
                <w:rtl/>
              </w:rPr>
              <w:t>15א.</w:t>
            </w:r>
          </w:p>
        </w:tc>
        <w:tc>
          <w:tcPr>
            <w:tcW w:w="4650" w:type="dxa"/>
          </w:tcPr>
          <w:p w14:paraId="3FE2B3C1" w14:textId="7716B93E" w:rsidR="00D6593B" w:rsidRDefault="00C15D30" w:rsidP="00C15D30">
            <w:pPr>
              <w:pStyle w:val="TableBlock"/>
              <w:rPr>
                <w:rtl/>
              </w:rPr>
            </w:pPr>
            <w:r w:rsidRPr="00C15D30">
              <w:rPr>
                <w:rFonts w:hint="cs"/>
                <w:rtl/>
              </w:rPr>
              <w:t>(א)</w:t>
            </w:r>
            <w:r w:rsidRPr="00C15D30">
              <w:rPr>
                <w:rtl/>
              </w:rPr>
              <w:tab/>
              <w:t>רשות שיפוטית לא תקבע כי חוק אינו תקף, זולת בית המשפט העליון</w:t>
            </w:r>
            <w:r w:rsidRPr="00C15D30">
              <w:rPr>
                <w:rFonts w:hint="cs"/>
                <w:rtl/>
              </w:rPr>
              <w:t xml:space="preserve"> בהרכב של אחד עשר שופטים לפחות ועל דעת שני שלישים או יותר מהשופטים היושבים במותב. </w:t>
            </w:r>
          </w:p>
          <w:p w14:paraId="4FEA11CB" w14:textId="06E0B0E3" w:rsidR="00951200" w:rsidRPr="00C15D30" w:rsidRDefault="00951200" w:rsidP="00C15D30">
            <w:pPr>
              <w:pStyle w:val="TableBlock"/>
            </w:pPr>
          </w:p>
        </w:tc>
      </w:tr>
      <w:tr w:rsidR="00C15D30" w14:paraId="01EC336B" w14:textId="77777777">
        <w:trPr>
          <w:cantSplit/>
          <w:trHeight w:val="60"/>
        </w:trPr>
        <w:tc>
          <w:tcPr>
            <w:tcW w:w="1871" w:type="dxa"/>
          </w:tcPr>
          <w:p w14:paraId="74EEA7A3" w14:textId="77777777" w:rsidR="00C15D30" w:rsidRDefault="00C15D30">
            <w:pPr>
              <w:pStyle w:val="TableSideHeading"/>
            </w:pPr>
          </w:p>
        </w:tc>
        <w:tc>
          <w:tcPr>
            <w:tcW w:w="624" w:type="dxa"/>
          </w:tcPr>
          <w:p w14:paraId="02A21ABE" w14:textId="77777777" w:rsidR="00C15D30" w:rsidRPr="008F3A22" w:rsidRDefault="00C15D30" w:rsidP="008F3A22">
            <w:pPr>
              <w:pStyle w:val="TableText"/>
            </w:pPr>
          </w:p>
        </w:tc>
        <w:tc>
          <w:tcPr>
            <w:tcW w:w="624" w:type="dxa"/>
          </w:tcPr>
          <w:p w14:paraId="1FE8AEB0" w14:textId="77777777" w:rsidR="00C15D30" w:rsidRDefault="00C15D30">
            <w:pPr>
              <w:pStyle w:val="TableText"/>
            </w:pPr>
          </w:p>
        </w:tc>
        <w:tc>
          <w:tcPr>
            <w:tcW w:w="624" w:type="dxa"/>
          </w:tcPr>
          <w:p w14:paraId="3C824A3E" w14:textId="77777777" w:rsidR="00C15D30" w:rsidRDefault="00C15D30">
            <w:pPr>
              <w:pStyle w:val="TableText"/>
            </w:pPr>
          </w:p>
        </w:tc>
        <w:tc>
          <w:tcPr>
            <w:tcW w:w="624" w:type="dxa"/>
          </w:tcPr>
          <w:p w14:paraId="6D66EEC2" w14:textId="77777777" w:rsidR="00C15D30" w:rsidRDefault="00C15D30">
            <w:pPr>
              <w:pStyle w:val="TableText"/>
            </w:pPr>
          </w:p>
        </w:tc>
        <w:tc>
          <w:tcPr>
            <w:tcW w:w="624" w:type="dxa"/>
          </w:tcPr>
          <w:p w14:paraId="20E27832" w14:textId="77777777" w:rsidR="00C15D30" w:rsidRDefault="00C15D30">
            <w:pPr>
              <w:pStyle w:val="TableText"/>
            </w:pPr>
          </w:p>
        </w:tc>
        <w:tc>
          <w:tcPr>
            <w:tcW w:w="4650" w:type="dxa"/>
          </w:tcPr>
          <w:p w14:paraId="2B29E969" w14:textId="1E36D253" w:rsidR="00C15D30" w:rsidRDefault="00C15D30">
            <w:pPr>
              <w:pStyle w:val="TableBlock"/>
            </w:pPr>
            <w:r>
              <w:rPr>
                <w:rFonts w:hint="cs"/>
                <w:rtl/>
              </w:rPr>
              <w:t>(ב)</w:t>
            </w:r>
            <w:r>
              <w:rPr>
                <w:rtl/>
              </w:rPr>
              <w:tab/>
            </w:r>
            <w:r w:rsidRPr="00C224B1">
              <w:rPr>
                <w:rtl/>
              </w:rPr>
              <w:t xml:space="preserve">קבע בית המשפט העליון כי </w:t>
            </w:r>
            <w:r w:rsidRPr="00C224B1">
              <w:rPr>
                <w:rFonts w:hint="cs"/>
                <w:rtl/>
              </w:rPr>
              <w:t xml:space="preserve">חוק אינו תקף רשאי </w:t>
            </w:r>
            <w:r w:rsidRPr="00C224B1">
              <w:rPr>
                <w:rtl/>
              </w:rPr>
              <w:t>הוא לתת כל הוראה או סעד הנראים לו דרושים בנסיבות הענ</w:t>
            </w:r>
            <w:r>
              <w:rPr>
                <w:rFonts w:hint="cs"/>
                <w:rtl/>
              </w:rPr>
              <w:t>י</w:t>
            </w:r>
            <w:r w:rsidRPr="00C224B1">
              <w:rPr>
                <w:rtl/>
              </w:rPr>
              <w:t>ין,</w:t>
            </w:r>
            <w:r w:rsidRPr="00C224B1">
              <w:rPr>
                <w:rFonts w:hint="cs"/>
                <w:rtl/>
              </w:rPr>
              <w:t xml:space="preserve"> לרבות קביעה בדבר מועד התחילה של הוראת הבטלות.</w:t>
            </w:r>
            <w:r w:rsidR="00A75DB2">
              <w:rPr>
                <w:rtl/>
              </w:rPr>
              <w:softHyphen/>
            </w:r>
          </w:p>
        </w:tc>
      </w:tr>
      <w:tr w:rsidR="00AC53C6" w14:paraId="388AF9F3" w14:textId="77777777">
        <w:trPr>
          <w:cantSplit/>
          <w:trHeight w:val="60"/>
        </w:trPr>
        <w:tc>
          <w:tcPr>
            <w:tcW w:w="1871" w:type="dxa"/>
          </w:tcPr>
          <w:p w14:paraId="72F3EC1F" w14:textId="77777777" w:rsidR="00AC53C6" w:rsidRDefault="00AC53C6">
            <w:pPr>
              <w:pStyle w:val="TableSideHeading"/>
            </w:pPr>
          </w:p>
        </w:tc>
        <w:tc>
          <w:tcPr>
            <w:tcW w:w="624" w:type="dxa"/>
          </w:tcPr>
          <w:p w14:paraId="12B64EE3" w14:textId="77777777" w:rsidR="00AC53C6" w:rsidRPr="008F3A22" w:rsidRDefault="00AC53C6" w:rsidP="008F3A22">
            <w:pPr>
              <w:pStyle w:val="TableText"/>
            </w:pPr>
          </w:p>
        </w:tc>
        <w:tc>
          <w:tcPr>
            <w:tcW w:w="624" w:type="dxa"/>
          </w:tcPr>
          <w:p w14:paraId="76FD040C" w14:textId="77777777" w:rsidR="00AC53C6" w:rsidRDefault="00AC53C6">
            <w:pPr>
              <w:pStyle w:val="TableText"/>
            </w:pPr>
          </w:p>
        </w:tc>
        <w:tc>
          <w:tcPr>
            <w:tcW w:w="624" w:type="dxa"/>
          </w:tcPr>
          <w:p w14:paraId="6391394B" w14:textId="77777777" w:rsidR="00AC53C6" w:rsidRDefault="00AC53C6">
            <w:pPr>
              <w:pStyle w:val="TableText"/>
            </w:pPr>
          </w:p>
        </w:tc>
        <w:tc>
          <w:tcPr>
            <w:tcW w:w="624" w:type="dxa"/>
          </w:tcPr>
          <w:p w14:paraId="554FD2AE" w14:textId="77777777" w:rsidR="00AC53C6" w:rsidRDefault="00AC53C6">
            <w:pPr>
              <w:pStyle w:val="TableText"/>
            </w:pPr>
          </w:p>
        </w:tc>
        <w:tc>
          <w:tcPr>
            <w:tcW w:w="624" w:type="dxa"/>
          </w:tcPr>
          <w:p w14:paraId="72522E48" w14:textId="77777777" w:rsidR="00AC53C6" w:rsidRDefault="00AC53C6">
            <w:pPr>
              <w:pStyle w:val="TableText"/>
            </w:pPr>
          </w:p>
        </w:tc>
        <w:tc>
          <w:tcPr>
            <w:tcW w:w="4650" w:type="dxa"/>
          </w:tcPr>
          <w:p w14:paraId="55C66E86" w14:textId="52544D01" w:rsidR="00AC53C6" w:rsidRPr="00AC53C6" w:rsidRDefault="00AC53C6">
            <w:pPr>
              <w:pStyle w:val="TableBlock"/>
              <w:rPr>
                <w:rtl/>
              </w:rPr>
            </w:pPr>
            <w:r w:rsidRPr="00C400EA">
              <w:rPr>
                <w:rFonts w:hint="cs"/>
                <w:rtl/>
              </w:rPr>
              <w:t xml:space="preserve">(ג) </w:t>
            </w:r>
            <w:r w:rsidRPr="00C400EA">
              <w:rPr>
                <w:rtl/>
              </w:rPr>
              <w:tab/>
            </w:r>
            <w:r w:rsidRPr="00C400EA">
              <w:rPr>
                <w:rFonts w:hint="cs"/>
                <w:rtl/>
              </w:rPr>
              <w:t>על אף האמור בסעיף קטן (ב) לא יקבע בית המשפט העליון כי הוראת חוק-יסוד אינה תקפה או כי חוק אינו תקף מטעמים של פגם בהליך החקיקה</w:t>
            </w:r>
            <w:r>
              <w:rPr>
                <w:rFonts w:hint="cs"/>
                <w:rtl/>
              </w:rPr>
              <w:t>,</w:t>
            </w:r>
            <w:r w:rsidRPr="00C400EA">
              <w:rPr>
                <w:rFonts w:hint="cs"/>
                <w:rtl/>
              </w:rPr>
              <w:t xml:space="preserve"> זולת אם ההליך סטה מההוראות הקבועות בכל דין.</w:t>
            </w:r>
          </w:p>
        </w:tc>
      </w:tr>
      <w:tr w:rsidR="00AB6F48" w14:paraId="54A9F97E" w14:textId="77777777">
        <w:trPr>
          <w:cantSplit/>
          <w:trHeight w:val="60"/>
        </w:trPr>
        <w:tc>
          <w:tcPr>
            <w:tcW w:w="1871" w:type="dxa"/>
          </w:tcPr>
          <w:p w14:paraId="4DBFEE18" w14:textId="77777777" w:rsidR="00AB6F48" w:rsidRDefault="00AB6F48">
            <w:pPr>
              <w:pStyle w:val="TableSideHeading"/>
              <w:keepLines w:val="0"/>
            </w:pPr>
          </w:p>
        </w:tc>
        <w:tc>
          <w:tcPr>
            <w:tcW w:w="624" w:type="dxa"/>
          </w:tcPr>
          <w:p w14:paraId="571DE7F5" w14:textId="77777777" w:rsidR="00AB6F48" w:rsidRPr="008F3A22" w:rsidRDefault="00AB6F48" w:rsidP="008F3A22">
            <w:pPr>
              <w:pStyle w:val="TableText"/>
            </w:pPr>
          </w:p>
        </w:tc>
        <w:tc>
          <w:tcPr>
            <w:tcW w:w="1872" w:type="dxa"/>
            <w:gridSpan w:val="3"/>
          </w:tcPr>
          <w:p w14:paraId="315888A8" w14:textId="6857ECF9" w:rsidR="00AB6F48" w:rsidRDefault="00AB6F48">
            <w:pPr>
              <w:pStyle w:val="TableInnerSideHeading"/>
            </w:pPr>
            <w:r>
              <w:rPr>
                <w:rFonts w:hint="cs"/>
                <w:rtl/>
              </w:rPr>
              <w:t>תוקפו של חוק סותר</w:t>
            </w:r>
          </w:p>
        </w:tc>
        <w:tc>
          <w:tcPr>
            <w:tcW w:w="624" w:type="dxa"/>
          </w:tcPr>
          <w:p w14:paraId="2C7F6907" w14:textId="102AFAC1" w:rsidR="00AB6F48" w:rsidRDefault="00AB6F48">
            <w:pPr>
              <w:pStyle w:val="TableText"/>
            </w:pPr>
            <w:r>
              <w:rPr>
                <w:rFonts w:hint="cs"/>
                <w:rtl/>
              </w:rPr>
              <w:t>15ב.</w:t>
            </w:r>
          </w:p>
        </w:tc>
        <w:tc>
          <w:tcPr>
            <w:tcW w:w="4650" w:type="dxa"/>
          </w:tcPr>
          <w:p w14:paraId="2EECFCC6" w14:textId="13B1544E" w:rsidR="00AB6F48" w:rsidRDefault="003D0AD2">
            <w:pPr>
              <w:pStyle w:val="TableBlock"/>
              <w:rPr>
                <w:rtl/>
              </w:rPr>
            </w:pPr>
            <w:r>
              <w:rPr>
                <w:rFonts w:hint="cs"/>
                <w:rtl/>
              </w:rPr>
              <w:t xml:space="preserve">(א) </w:t>
            </w:r>
            <w:r>
              <w:rPr>
                <w:rtl/>
              </w:rPr>
              <w:tab/>
            </w:r>
            <w:r w:rsidRPr="00C224B1">
              <w:rPr>
                <w:rtl/>
              </w:rPr>
              <w:t xml:space="preserve">קבע בית המשפט העליון, </w:t>
            </w:r>
            <w:r w:rsidRPr="00C224B1">
              <w:rPr>
                <w:rFonts w:hint="cs"/>
                <w:rtl/>
              </w:rPr>
              <w:t>לפי</w:t>
            </w:r>
            <w:r w:rsidRPr="00C224B1">
              <w:rPr>
                <w:rtl/>
              </w:rPr>
              <w:t xml:space="preserve"> סעיף 15א לחוק</w:t>
            </w:r>
            <w:r w:rsidRPr="00C224B1">
              <w:rPr>
                <w:rFonts w:hint="cs"/>
                <w:rtl/>
              </w:rPr>
              <w:t>-</w:t>
            </w:r>
            <w:r w:rsidRPr="00C224B1">
              <w:rPr>
                <w:rtl/>
              </w:rPr>
              <w:t>יסוד: השפיטה</w:t>
            </w:r>
            <w:r w:rsidRPr="00C224B1">
              <w:rPr>
                <w:rFonts w:hint="cs"/>
                <w:rtl/>
              </w:rPr>
              <w:t>,</w:t>
            </w:r>
            <w:r w:rsidR="009D4EFC">
              <w:rPr>
                <w:rtl/>
              </w:rPr>
              <w:t xml:space="preserve"> כי חוק אינו תקף</w:t>
            </w:r>
            <w:r w:rsidR="009D4EFC">
              <w:rPr>
                <w:rFonts w:hint="cs"/>
                <w:rtl/>
              </w:rPr>
              <w:t xml:space="preserve"> </w:t>
            </w:r>
            <w:r w:rsidRPr="00C224B1">
              <w:rPr>
                <w:rtl/>
              </w:rPr>
              <w:t xml:space="preserve">משום שהוא </w:t>
            </w:r>
            <w:r w:rsidRPr="00C224B1">
              <w:rPr>
                <w:rFonts w:hint="cs"/>
                <w:rtl/>
              </w:rPr>
              <w:t xml:space="preserve">פוגע בזכות אדם שלא </w:t>
            </w:r>
            <w:r w:rsidR="0009599E">
              <w:rPr>
                <w:rFonts w:hint="cs"/>
                <w:rtl/>
              </w:rPr>
              <w:t>בתנאים המותרים לכך  בחוק-</w:t>
            </w:r>
            <w:r w:rsidRPr="00C224B1">
              <w:rPr>
                <w:rFonts w:hint="cs"/>
                <w:rtl/>
              </w:rPr>
              <w:t>יסוד</w:t>
            </w:r>
            <w:r w:rsidRPr="00C224B1">
              <w:rPr>
                <w:rtl/>
              </w:rPr>
              <w:t>,</w:t>
            </w:r>
            <w:r w:rsidRPr="00C224B1">
              <w:rPr>
                <w:rFonts w:hint="cs"/>
                <w:rtl/>
              </w:rPr>
              <w:t xml:space="preserve"> </w:t>
            </w:r>
            <w:r w:rsidRPr="00C224B1">
              <w:rPr>
                <w:rtl/>
              </w:rPr>
              <w:t>יעמוד החוק הסותר בתוקפו חרף הסתירה</w:t>
            </w:r>
            <w:r w:rsidRPr="00C224B1">
              <w:rPr>
                <w:rFonts w:hint="cs"/>
                <w:rtl/>
              </w:rPr>
              <w:t>,</w:t>
            </w:r>
            <w:r w:rsidRPr="00C224B1">
              <w:rPr>
                <w:rtl/>
              </w:rPr>
              <w:t xml:space="preserve"> אם קבעה הכנסת במפורש, בחוק שהתקבל </w:t>
            </w:r>
            <w:r w:rsidR="000A3195">
              <w:rPr>
                <w:rFonts w:hint="cs"/>
                <w:rtl/>
              </w:rPr>
              <w:t xml:space="preserve">בשלוש </w:t>
            </w:r>
            <w:r w:rsidRPr="00C224B1">
              <w:rPr>
                <w:rFonts w:hint="cs"/>
                <w:rtl/>
              </w:rPr>
              <w:t xml:space="preserve">קריאות </w:t>
            </w:r>
            <w:r w:rsidRPr="00C224B1">
              <w:rPr>
                <w:rtl/>
              </w:rPr>
              <w:t>ברוב של חברי הכנסת</w:t>
            </w:r>
            <w:r w:rsidR="000A3195">
              <w:rPr>
                <w:rFonts w:hint="cs"/>
                <w:rtl/>
              </w:rPr>
              <w:t>,</w:t>
            </w:r>
            <w:r w:rsidRPr="00C224B1">
              <w:rPr>
                <w:rtl/>
              </w:rPr>
              <w:t xml:space="preserve"> </w:t>
            </w:r>
            <w:r w:rsidR="003D7430">
              <w:rPr>
                <w:rFonts w:hint="cs"/>
                <w:rtl/>
              </w:rPr>
              <w:t>ו</w:t>
            </w:r>
            <w:r w:rsidRPr="00C224B1">
              <w:rPr>
                <w:rtl/>
              </w:rPr>
              <w:t>לאחר שהונח בפניה פסק דינו של בית המשפט העליון, כי החוק ה</w:t>
            </w:r>
            <w:r w:rsidRPr="00C224B1">
              <w:rPr>
                <w:rFonts w:hint="cs"/>
                <w:rtl/>
              </w:rPr>
              <w:t>סותר</w:t>
            </w:r>
            <w:r w:rsidRPr="00C224B1">
              <w:rPr>
                <w:rtl/>
              </w:rPr>
              <w:t xml:space="preserve"> יהיה תקף על אף האמור בחוק-היסוד</w:t>
            </w:r>
            <w:r w:rsidRPr="00C224B1">
              <w:rPr>
                <w:rFonts w:hint="cs"/>
                <w:rtl/>
              </w:rPr>
              <w:t xml:space="preserve"> </w:t>
            </w:r>
            <w:r w:rsidRPr="0009599E">
              <w:rPr>
                <w:rtl/>
              </w:rPr>
              <w:t>(בסעיף זה –</w:t>
            </w:r>
            <w:r w:rsidR="0009599E" w:rsidRPr="005819A5">
              <w:rPr>
                <w:rtl/>
              </w:rPr>
              <w:t xml:space="preserve"> חוק </w:t>
            </w:r>
            <w:r w:rsidRPr="00236B3F">
              <w:rPr>
                <w:rFonts w:hint="cs"/>
                <w:rtl/>
              </w:rPr>
              <w:t>התגברות).</w:t>
            </w:r>
          </w:p>
        </w:tc>
      </w:tr>
      <w:tr w:rsidR="003D0AD2" w14:paraId="148A042E" w14:textId="77777777">
        <w:trPr>
          <w:cantSplit/>
          <w:trHeight w:val="60"/>
        </w:trPr>
        <w:tc>
          <w:tcPr>
            <w:tcW w:w="1871" w:type="dxa"/>
          </w:tcPr>
          <w:p w14:paraId="357B697F" w14:textId="77777777" w:rsidR="003D0AD2" w:rsidRDefault="003D0AD2">
            <w:pPr>
              <w:pStyle w:val="TableSideHeading"/>
            </w:pPr>
          </w:p>
        </w:tc>
        <w:tc>
          <w:tcPr>
            <w:tcW w:w="624" w:type="dxa"/>
          </w:tcPr>
          <w:p w14:paraId="5A8AEE8C" w14:textId="77777777" w:rsidR="003D0AD2" w:rsidRPr="008F3A22" w:rsidRDefault="003D0AD2" w:rsidP="008F3A22">
            <w:pPr>
              <w:pStyle w:val="TableText"/>
            </w:pPr>
          </w:p>
        </w:tc>
        <w:tc>
          <w:tcPr>
            <w:tcW w:w="624" w:type="dxa"/>
          </w:tcPr>
          <w:p w14:paraId="1EEE60A8" w14:textId="77777777" w:rsidR="003D0AD2" w:rsidRDefault="003D0AD2">
            <w:pPr>
              <w:pStyle w:val="TableText"/>
            </w:pPr>
          </w:p>
        </w:tc>
        <w:tc>
          <w:tcPr>
            <w:tcW w:w="624" w:type="dxa"/>
          </w:tcPr>
          <w:p w14:paraId="39FEC0CF" w14:textId="77777777" w:rsidR="003D0AD2" w:rsidRDefault="003D0AD2">
            <w:pPr>
              <w:pStyle w:val="TableText"/>
            </w:pPr>
          </w:p>
        </w:tc>
        <w:tc>
          <w:tcPr>
            <w:tcW w:w="624" w:type="dxa"/>
          </w:tcPr>
          <w:p w14:paraId="7D378C61" w14:textId="77777777" w:rsidR="003D0AD2" w:rsidRDefault="003D0AD2">
            <w:pPr>
              <w:pStyle w:val="TableText"/>
            </w:pPr>
          </w:p>
        </w:tc>
        <w:tc>
          <w:tcPr>
            <w:tcW w:w="624" w:type="dxa"/>
          </w:tcPr>
          <w:p w14:paraId="57115481" w14:textId="77777777" w:rsidR="003D0AD2" w:rsidRDefault="003D0AD2">
            <w:pPr>
              <w:pStyle w:val="TableText"/>
            </w:pPr>
          </w:p>
        </w:tc>
        <w:tc>
          <w:tcPr>
            <w:tcW w:w="4650" w:type="dxa"/>
          </w:tcPr>
          <w:p w14:paraId="4EE3CF06" w14:textId="76AA6806" w:rsidR="003D0AD2" w:rsidRDefault="003D0AD2" w:rsidP="00236B3F">
            <w:pPr>
              <w:pStyle w:val="TableBlock"/>
            </w:pPr>
            <w:r>
              <w:rPr>
                <w:rFonts w:hint="cs"/>
                <w:rtl/>
              </w:rPr>
              <w:t xml:space="preserve">(ב) </w:t>
            </w:r>
            <w:r>
              <w:rPr>
                <w:rtl/>
              </w:rPr>
              <w:tab/>
            </w:r>
            <w:r w:rsidRPr="00C224B1">
              <w:rPr>
                <w:rFonts w:hint="cs"/>
                <w:rtl/>
              </w:rPr>
              <w:t xml:space="preserve">תוקפו של חוק התגברות יהיה לחמש שנים, זולת אם בוטל קודם לכן או שנקבעה בו תקופה </w:t>
            </w:r>
            <w:r w:rsidR="0009599E">
              <w:rPr>
                <w:rFonts w:hint="cs"/>
                <w:rtl/>
              </w:rPr>
              <w:t xml:space="preserve">קצרה יותר או אם בוטל החוק הסותר; טרם פקיעת החוק, </w:t>
            </w:r>
            <w:r w:rsidRPr="00C224B1">
              <w:rPr>
                <w:rFonts w:hint="cs"/>
                <w:rtl/>
              </w:rPr>
              <w:t>רשא</w:t>
            </w:r>
            <w:r w:rsidR="0009599E">
              <w:rPr>
                <w:rFonts w:hint="cs"/>
                <w:rtl/>
              </w:rPr>
              <w:t>ית הכנסת לשוב ולחוקקו</w:t>
            </w:r>
            <w:r w:rsidRPr="00C224B1">
              <w:rPr>
                <w:rFonts w:hint="cs"/>
                <w:rtl/>
              </w:rPr>
              <w:t xml:space="preserve"> לתקופות נוספות שלא יעלו כל אחת על חמש שנים.</w:t>
            </w:r>
          </w:p>
        </w:tc>
      </w:tr>
      <w:tr w:rsidR="003D0AD2" w14:paraId="0C7BBA30" w14:textId="77777777">
        <w:trPr>
          <w:cantSplit/>
          <w:trHeight w:val="60"/>
        </w:trPr>
        <w:tc>
          <w:tcPr>
            <w:tcW w:w="1871" w:type="dxa"/>
          </w:tcPr>
          <w:p w14:paraId="401AD7C6" w14:textId="5A794E44" w:rsidR="003D0AD2" w:rsidRDefault="003D0AD2">
            <w:pPr>
              <w:pStyle w:val="TableSideHeading"/>
            </w:pPr>
          </w:p>
        </w:tc>
        <w:tc>
          <w:tcPr>
            <w:tcW w:w="624" w:type="dxa"/>
          </w:tcPr>
          <w:p w14:paraId="60D49860" w14:textId="77777777" w:rsidR="003D0AD2" w:rsidRPr="008F3A22" w:rsidRDefault="003D0AD2" w:rsidP="008F3A22">
            <w:pPr>
              <w:pStyle w:val="TableText"/>
            </w:pPr>
          </w:p>
        </w:tc>
        <w:tc>
          <w:tcPr>
            <w:tcW w:w="624" w:type="dxa"/>
          </w:tcPr>
          <w:p w14:paraId="56E685B9" w14:textId="77777777" w:rsidR="003D0AD2" w:rsidRDefault="003D0AD2">
            <w:pPr>
              <w:pStyle w:val="TableText"/>
            </w:pPr>
          </w:p>
        </w:tc>
        <w:tc>
          <w:tcPr>
            <w:tcW w:w="624" w:type="dxa"/>
          </w:tcPr>
          <w:p w14:paraId="64A4E4CB" w14:textId="77777777" w:rsidR="003D0AD2" w:rsidRDefault="003D0AD2">
            <w:pPr>
              <w:pStyle w:val="TableText"/>
            </w:pPr>
          </w:p>
        </w:tc>
        <w:tc>
          <w:tcPr>
            <w:tcW w:w="624" w:type="dxa"/>
          </w:tcPr>
          <w:p w14:paraId="24EA30BD" w14:textId="77777777" w:rsidR="003D0AD2" w:rsidRDefault="003D0AD2">
            <w:pPr>
              <w:pStyle w:val="TableText"/>
            </w:pPr>
          </w:p>
        </w:tc>
        <w:tc>
          <w:tcPr>
            <w:tcW w:w="624" w:type="dxa"/>
          </w:tcPr>
          <w:p w14:paraId="475C9934" w14:textId="77777777" w:rsidR="003D0AD2" w:rsidRDefault="003D0AD2">
            <w:pPr>
              <w:pStyle w:val="TableText"/>
            </w:pPr>
          </w:p>
        </w:tc>
        <w:tc>
          <w:tcPr>
            <w:tcW w:w="4650" w:type="dxa"/>
          </w:tcPr>
          <w:p w14:paraId="466E31DD" w14:textId="33C94B18" w:rsidR="003D0AD2" w:rsidRDefault="003D0AD2" w:rsidP="00C400EA">
            <w:pPr>
              <w:pStyle w:val="TableBlock"/>
              <w:rPr>
                <w:rtl/>
              </w:rPr>
            </w:pPr>
            <w:r>
              <w:rPr>
                <w:rFonts w:hint="cs"/>
                <w:rtl/>
              </w:rPr>
              <w:t xml:space="preserve">(ג) </w:t>
            </w:r>
            <w:r>
              <w:rPr>
                <w:rtl/>
              </w:rPr>
              <w:tab/>
            </w:r>
            <w:r w:rsidRPr="00C224B1">
              <w:rPr>
                <w:rFonts w:hint="cs"/>
                <w:rtl/>
              </w:rPr>
              <w:t xml:space="preserve">בתום תקופת תוקפו של חוק ההתגברות לא יהיה תוקף לחוק הסותר, </w:t>
            </w:r>
            <w:r w:rsidR="00C400EA">
              <w:rPr>
                <w:rFonts w:hint="cs"/>
                <w:rtl/>
              </w:rPr>
              <w:t>בהתאם לקביעת</w:t>
            </w:r>
            <w:r w:rsidRPr="00C224B1">
              <w:rPr>
                <w:rFonts w:hint="cs"/>
                <w:rtl/>
              </w:rPr>
              <w:t xml:space="preserve"> בית המשפט.</w:t>
            </w:r>
          </w:p>
        </w:tc>
      </w:tr>
      <w:tr w:rsidR="003D0AD2" w14:paraId="34681EA2" w14:textId="77777777">
        <w:trPr>
          <w:cantSplit/>
          <w:trHeight w:val="60"/>
        </w:trPr>
        <w:tc>
          <w:tcPr>
            <w:tcW w:w="1871" w:type="dxa"/>
          </w:tcPr>
          <w:p w14:paraId="666AAF50" w14:textId="77777777" w:rsidR="003D0AD2" w:rsidRDefault="003D0AD2">
            <w:pPr>
              <w:pStyle w:val="TableSideHeading"/>
            </w:pPr>
          </w:p>
        </w:tc>
        <w:tc>
          <w:tcPr>
            <w:tcW w:w="624" w:type="dxa"/>
          </w:tcPr>
          <w:p w14:paraId="25D47119" w14:textId="77777777" w:rsidR="003D0AD2" w:rsidRPr="008F3A22" w:rsidRDefault="003D0AD2" w:rsidP="008F3A22">
            <w:pPr>
              <w:pStyle w:val="TableText"/>
            </w:pPr>
          </w:p>
        </w:tc>
        <w:tc>
          <w:tcPr>
            <w:tcW w:w="624" w:type="dxa"/>
          </w:tcPr>
          <w:p w14:paraId="6203882C" w14:textId="77777777" w:rsidR="003D0AD2" w:rsidRDefault="003D0AD2">
            <w:pPr>
              <w:pStyle w:val="TableText"/>
            </w:pPr>
          </w:p>
        </w:tc>
        <w:tc>
          <w:tcPr>
            <w:tcW w:w="624" w:type="dxa"/>
          </w:tcPr>
          <w:p w14:paraId="3C8BF3C0" w14:textId="77777777" w:rsidR="003D0AD2" w:rsidRDefault="003D0AD2">
            <w:pPr>
              <w:pStyle w:val="TableText"/>
            </w:pPr>
          </w:p>
        </w:tc>
        <w:tc>
          <w:tcPr>
            <w:tcW w:w="624" w:type="dxa"/>
          </w:tcPr>
          <w:p w14:paraId="6012D893" w14:textId="77777777" w:rsidR="003D0AD2" w:rsidRDefault="003D0AD2">
            <w:pPr>
              <w:pStyle w:val="TableText"/>
            </w:pPr>
          </w:p>
        </w:tc>
        <w:tc>
          <w:tcPr>
            <w:tcW w:w="624" w:type="dxa"/>
          </w:tcPr>
          <w:p w14:paraId="4E0B78B6" w14:textId="77777777" w:rsidR="003D0AD2" w:rsidRDefault="003D0AD2">
            <w:pPr>
              <w:pStyle w:val="TableText"/>
            </w:pPr>
          </w:p>
        </w:tc>
        <w:tc>
          <w:tcPr>
            <w:tcW w:w="4650" w:type="dxa"/>
          </w:tcPr>
          <w:p w14:paraId="2922BAE1" w14:textId="705BC5E9" w:rsidR="003D0AD2" w:rsidRDefault="003D0AD2">
            <w:pPr>
              <w:pStyle w:val="TableBlock"/>
              <w:rPr>
                <w:rtl/>
              </w:rPr>
            </w:pPr>
            <w:r>
              <w:rPr>
                <w:rFonts w:hint="cs"/>
                <w:rtl/>
              </w:rPr>
              <w:t>(ד)</w:t>
            </w:r>
            <w:r>
              <w:rPr>
                <w:rtl/>
              </w:rPr>
              <w:tab/>
            </w:r>
            <w:r w:rsidRPr="003D0AD2">
              <w:rPr>
                <w:rtl/>
              </w:rPr>
              <w:t>בסעיף זה, "חוק" – לרבות הוראה בחוק</w:t>
            </w:r>
            <w:r>
              <w:rPr>
                <w:rFonts w:hint="cs"/>
                <w:rtl/>
              </w:rPr>
              <w:t>"</w:t>
            </w:r>
            <w:r w:rsidRPr="003D0AD2">
              <w:rPr>
                <w:rtl/>
              </w:rPr>
              <w:t>.</w:t>
            </w:r>
          </w:p>
        </w:tc>
      </w:tr>
    </w:tbl>
    <w:p w14:paraId="404B3417" w14:textId="77777777" w:rsidR="00C224B1" w:rsidRPr="00C224B1" w:rsidRDefault="00C224B1" w:rsidP="00C224B1">
      <w:pPr>
        <w:widowControl/>
        <w:autoSpaceDE/>
        <w:autoSpaceDN/>
        <w:adjustRightInd/>
        <w:spacing w:before="0" w:line="240" w:lineRule="auto"/>
        <w:ind w:firstLine="0"/>
        <w:textAlignment w:val="auto"/>
        <w:rPr>
          <w:rFonts w:ascii="Arial" w:eastAsia="Arial Unicode MS" w:hAnsi="Arial" w:cs="David"/>
          <w:snapToGrid w:val="0"/>
          <w:spacing w:val="0"/>
          <w:sz w:val="20"/>
          <w:szCs w:val="26"/>
          <w:rtl/>
        </w:rPr>
      </w:pPr>
    </w:p>
    <w:p w14:paraId="679B04D1" w14:textId="77777777" w:rsidR="00C224B1" w:rsidRPr="00A9576B" w:rsidRDefault="00C224B1" w:rsidP="005819A5">
      <w:pPr>
        <w:pStyle w:val="HeadDivreiHesber"/>
        <w:rPr>
          <w:rtl/>
        </w:rPr>
      </w:pPr>
      <w:r w:rsidRPr="00A9576B">
        <w:rPr>
          <w:rFonts w:hint="cs"/>
          <w:rtl/>
        </w:rPr>
        <w:t>דברי הסבר</w:t>
      </w:r>
    </w:p>
    <w:p w14:paraId="4114A430" w14:textId="088C66E6" w:rsidR="00C224B1" w:rsidRPr="00AC53C6" w:rsidRDefault="00C224B1" w:rsidP="00AC53C6">
      <w:pPr>
        <w:pStyle w:val="Hesber"/>
      </w:pPr>
      <w:r w:rsidRPr="00AC53C6">
        <w:rPr>
          <w:rFonts w:hint="cs"/>
          <w:rtl/>
        </w:rPr>
        <w:t>בשנים האחרונות חל כרסום במעמדם של הכנסת ושל בית המשפט העליון. חוקים שחוקקו על ידי הכנסת נפסלו פעם אחר פעם על ידי בתי המשפט, וזאת מבלי שהסמכות לפסילת חוקים מוסדרת בחוק-יסוד, מבלי שנקבעה פרוצדורה או הרכב לדיון בעניין פסילת חוקים ומבלי שעוגנה בחוק-יסוד עליונותו של המחוקק, כמייצג את ריבונות העם, לקבוע חוקים וחוקי-יסוד שאינם נתונים לביקורת שיפוטית.</w:t>
      </w:r>
    </w:p>
    <w:p w14:paraId="4FEB8C3E" w14:textId="1C62D0AB" w:rsidR="00C224B1" w:rsidRPr="00AC53C6" w:rsidRDefault="00C224B1" w:rsidP="00AC53C6">
      <w:pPr>
        <w:pStyle w:val="Hesber"/>
        <w:rPr>
          <w:rtl/>
        </w:rPr>
      </w:pPr>
      <w:r w:rsidRPr="00AC53C6">
        <w:rPr>
          <w:rFonts w:hint="cs"/>
          <w:rtl/>
        </w:rPr>
        <w:lastRenderedPageBreak/>
        <w:t>קבלת הצעת חוק היסוד תוביל לחיזוק מעמדו הציבורי של בית המשפט העליון, הסובל בשנים האחרונות מירידה חדה באמון הציבורי בשל התערבותו בנושאי הליבה המצויים במחלוקת ציבורית בישראל ו</w:t>
      </w:r>
      <w:r w:rsidR="007E38A4" w:rsidRPr="00AC53C6">
        <w:rPr>
          <w:rFonts w:hint="cs"/>
          <w:rtl/>
        </w:rPr>
        <w:t xml:space="preserve">כן בשל </w:t>
      </w:r>
      <w:r w:rsidRPr="00AC53C6">
        <w:rPr>
          <w:rFonts w:hint="cs"/>
          <w:rtl/>
        </w:rPr>
        <w:t xml:space="preserve">הכרעותיו </w:t>
      </w:r>
      <w:r w:rsidR="002170A4" w:rsidRPr="00AC53C6">
        <w:rPr>
          <w:rFonts w:hint="cs"/>
          <w:rtl/>
        </w:rPr>
        <w:t xml:space="preserve">העומדות במתח עם </w:t>
      </w:r>
      <w:r w:rsidRPr="00AC53C6">
        <w:rPr>
          <w:rFonts w:hint="cs"/>
          <w:rtl/>
        </w:rPr>
        <w:t>חוקי הכנסת ורצון העם.</w:t>
      </w:r>
    </w:p>
    <w:p w14:paraId="50043C7C" w14:textId="140BF9B1" w:rsidR="00C224B1" w:rsidRPr="00AC53C6" w:rsidRDefault="00C224B1" w:rsidP="00AC53C6">
      <w:pPr>
        <w:pStyle w:val="Hesber"/>
        <w:rPr>
          <w:rtl/>
        </w:rPr>
      </w:pPr>
      <w:r w:rsidRPr="00AC53C6">
        <w:rPr>
          <w:rFonts w:hint="cs"/>
          <w:rtl/>
        </w:rPr>
        <w:t>בהצעת חוק היסוד מוצע לקבוע, בדרך של תיקון עקיף לחוק-יסוד: השפיטה, כי רק בית המשפט העליון, בשבתו בהרכב של אחד עשר שופטים לפחות, יהיה מוסמך לקבוע כי חוק אינו תקף. החלטה כזאת ת</w:t>
      </w:r>
      <w:r w:rsidR="00F52E77" w:rsidRPr="00AC53C6">
        <w:rPr>
          <w:rFonts w:hint="cs"/>
          <w:rtl/>
        </w:rPr>
        <w:t>י</w:t>
      </w:r>
      <w:r w:rsidRPr="00AC53C6">
        <w:rPr>
          <w:rFonts w:hint="cs"/>
          <w:rtl/>
        </w:rPr>
        <w:t>נתן רק אם תמכו בה לפחות שני שלישים מהשופטים היושבים במותב. בכך מציע התיקון לאמץ מודל ריכוזי של ביקורת שיפוטית שעד כה טרם היה נהוג במשפטנו. לפי ההסדר המוצע, כל ספק שיתעורר בנוגע לשאלת תוקפו של חוק ידון בתחילה בבית המשפט העליון בהרכב של שלושה שופטים, על מנת לקבוע אם אמנם קיים ספק של ממש בדבר תוקפו של החוק ואם ההכרעה בכך הכרחית לשם פסיקה</w:t>
      </w:r>
      <w:r w:rsidR="00F52E77" w:rsidRPr="00AC53C6">
        <w:rPr>
          <w:rFonts w:hint="cs"/>
          <w:rtl/>
        </w:rPr>
        <w:t xml:space="preserve"> בנידון</w:t>
      </w:r>
      <w:r w:rsidRPr="00AC53C6">
        <w:rPr>
          <w:rFonts w:hint="cs"/>
          <w:rtl/>
        </w:rPr>
        <w:t>. רק אם</w:t>
      </w:r>
      <w:r w:rsidR="00F52E77" w:rsidRPr="00AC53C6">
        <w:rPr>
          <w:rFonts w:hint="cs"/>
          <w:rtl/>
        </w:rPr>
        <w:t xml:space="preserve"> אכן</w:t>
      </w:r>
      <w:r w:rsidRPr="00AC53C6">
        <w:rPr>
          <w:rFonts w:hint="cs"/>
          <w:rtl/>
        </w:rPr>
        <w:t xml:space="preserve"> קבע כך, תובא השאלה בפני הרכב של אחד עשר</w:t>
      </w:r>
      <w:r w:rsidR="00F52E77" w:rsidRPr="00AC53C6">
        <w:rPr>
          <w:rFonts w:hint="cs"/>
          <w:rtl/>
        </w:rPr>
        <w:t xml:space="preserve"> שופטים</w:t>
      </w:r>
      <w:r w:rsidRPr="00AC53C6">
        <w:rPr>
          <w:rFonts w:hint="cs"/>
          <w:rtl/>
        </w:rPr>
        <w:t xml:space="preserve"> </w:t>
      </w:r>
      <w:r w:rsidR="00F52E77" w:rsidRPr="00AC53C6">
        <w:rPr>
          <w:rFonts w:hint="cs"/>
          <w:rtl/>
        </w:rPr>
        <w:t>לפחות</w:t>
      </w:r>
      <w:r w:rsidRPr="00AC53C6">
        <w:rPr>
          <w:rFonts w:hint="cs"/>
          <w:rtl/>
        </w:rPr>
        <w:t>. אם קבע ההרכב המורחב כי החוק אינו תקף, רשאי הוא לתת כל סעד, לרבות קביע</w:t>
      </w:r>
      <w:r w:rsidR="00F52E77" w:rsidRPr="00AC53C6">
        <w:rPr>
          <w:rFonts w:hint="cs"/>
          <w:rtl/>
        </w:rPr>
        <w:t xml:space="preserve">ת מועד התחילה של הוראת </w:t>
      </w:r>
      <w:r w:rsidRPr="00AC53C6">
        <w:rPr>
          <w:rFonts w:hint="cs"/>
          <w:rtl/>
        </w:rPr>
        <w:t xml:space="preserve"> </w:t>
      </w:r>
      <w:r w:rsidR="00F52E77" w:rsidRPr="00AC53C6">
        <w:rPr>
          <w:rFonts w:hint="cs"/>
          <w:rtl/>
        </w:rPr>
        <w:t>ה</w:t>
      </w:r>
      <w:r w:rsidRPr="00AC53C6">
        <w:rPr>
          <w:rFonts w:hint="cs"/>
          <w:rtl/>
        </w:rPr>
        <w:t xml:space="preserve">בטלות </w:t>
      </w:r>
      <w:r w:rsidR="00F52E77" w:rsidRPr="00AC53C6">
        <w:rPr>
          <w:rFonts w:hint="cs"/>
          <w:rtl/>
        </w:rPr>
        <w:t xml:space="preserve">של </w:t>
      </w:r>
      <w:r w:rsidRPr="00AC53C6">
        <w:rPr>
          <w:rFonts w:hint="cs"/>
          <w:rtl/>
        </w:rPr>
        <w:t xml:space="preserve">החוק. </w:t>
      </w:r>
    </w:p>
    <w:p w14:paraId="57422B80" w14:textId="2A76C75B" w:rsidR="00C224B1" w:rsidRPr="00AC53C6" w:rsidRDefault="00C224B1" w:rsidP="00AC53C6">
      <w:pPr>
        <w:pStyle w:val="Hesber"/>
        <w:rPr>
          <w:rtl/>
        </w:rPr>
      </w:pPr>
      <w:r w:rsidRPr="00AC53C6">
        <w:rPr>
          <w:rFonts w:hint="cs"/>
          <w:rtl/>
        </w:rPr>
        <w:t xml:space="preserve">באופן דומה, </w:t>
      </w:r>
      <w:r w:rsidR="00080847" w:rsidRPr="00AC53C6">
        <w:rPr>
          <w:rFonts w:hint="cs"/>
          <w:rtl/>
        </w:rPr>
        <w:t>מוצע כי</w:t>
      </w:r>
      <w:r w:rsidRPr="00AC53C6">
        <w:rPr>
          <w:rFonts w:hint="cs"/>
          <w:rtl/>
        </w:rPr>
        <w:t xml:space="preserve"> סמכות הביקורת השיפוטית על הליכי החקיקה של חוקים רגילים תוגבל רק למצבים שבהם הליך החקיקה סטה מהוראות דין; כגון ש</w:t>
      </w:r>
      <w:r w:rsidR="00080847" w:rsidRPr="00AC53C6">
        <w:rPr>
          <w:rFonts w:hint="cs"/>
          <w:rtl/>
        </w:rPr>
        <w:t xml:space="preserve">החוקים </w:t>
      </w:r>
      <w:r w:rsidRPr="00AC53C6">
        <w:rPr>
          <w:rFonts w:hint="cs"/>
          <w:rtl/>
        </w:rPr>
        <w:t xml:space="preserve">לא נתקבלו ברוב הדרוש או שלא נתקיימו הקריאות הדרושות במליאת הכנסת. </w:t>
      </w:r>
    </w:p>
    <w:p w14:paraId="4C20D76D" w14:textId="5367DC49" w:rsidR="00C224B1" w:rsidRPr="00AC53C6" w:rsidRDefault="00C224B1" w:rsidP="00AC53C6">
      <w:pPr>
        <w:pStyle w:val="Hesber"/>
      </w:pPr>
      <w:r w:rsidRPr="00AC53C6">
        <w:rPr>
          <w:rFonts w:hint="cs"/>
          <w:rtl/>
        </w:rPr>
        <w:t>הצעת חוק</w:t>
      </w:r>
      <w:r w:rsidR="005819A5" w:rsidRPr="00AC53C6">
        <w:rPr>
          <w:rFonts w:hint="cs"/>
          <w:rtl/>
        </w:rPr>
        <w:t xml:space="preserve"> היסוד</w:t>
      </w:r>
      <w:r w:rsidRPr="00AC53C6">
        <w:rPr>
          <w:rFonts w:hint="cs"/>
          <w:rtl/>
        </w:rPr>
        <w:t xml:space="preserve"> מעגנת מודל נוסף אשר מתיר לכנסת לחרוג מגדרי חוק היסוד ולהתגבר על פסיקת בית המשפט העליון הפוסלת חוק. לפי המוצע, משקבע בית המשפט העליון שחוק אינו תקף משום שפגע בזכות יסוד שלא לפי התנאים המותרים לכך</w:t>
      </w:r>
      <w:r w:rsidR="00080847" w:rsidRPr="00AC53C6">
        <w:rPr>
          <w:rFonts w:hint="cs"/>
          <w:rtl/>
        </w:rPr>
        <w:t xml:space="preserve"> בחוק היסוד</w:t>
      </w:r>
      <w:r w:rsidRPr="00AC53C6">
        <w:rPr>
          <w:rFonts w:hint="cs"/>
          <w:rtl/>
        </w:rPr>
        <w:t>, תוכל הכנסת לקבוע, בהליך חקיקה מחודש, כי החוק יהיה תקף על אף פסיקת בית המשפט. על פי המוצע</w:t>
      </w:r>
      <w:r w:rsidR="00080847" w:rsidRPr="00AC53C6">
        <w:rPr>
          <w:rFonts w:hint="cs"/>
          <w:rtl/>
        </w:rPr>
        <w:t>,</w:t>
      </w:r>
      <w:r w:rsidRPr="00AC53C6">
        <w:rPr>
          <w:rFonts w:hint="cs"/>
          <w:rtl/>
        </w:rPr>
        <w:t xml:space="preserve"> הרוב </w:t>
      </w:r>
      <w:r w:rsidR="00080847" w:rsidRPr="00AC53C6">
        <w:rPr>
          <w:rFonts w:hint="cs"/>
          <w:rtl/>
        </w:rPr>
        <w:t xml:space="preserve">הנדרש </w:t>
      </w:r>
      <w:r w:rsidRPr="00AC53C6">
        <w:rPr>
          <w:rFonts w:hint="cs"/>
          <w:rtl/>
        </w:rPr>
        <w:t>לחקיקת חוק ההתגברות יהיה רוב של ש</w:t>
      </w:r>
      <w:r w:rsidR="00080847" w:rsidRPr="00AC53C6">
        <w:rPr>
          <w:rFonts w:hint="cs"/>
          <w:rtl/>
        </w:rPr>
        <w:t>י</w:t>
      </w:r>
      <w:r w:rsidRPr="00AC53C6">
        <w:rPr>
          <w:rFonts w:hint="cs"/>
          <w:rtl/>
        </w:rPr>
        <w:t>שים ואחד חברי כנסת. חוק התגברות יעמוד בתוקפו לכל היותר חמש שנים, אך ניתן לשוב ולחוקקו לתקופות דומות. משח</w:t>
      </w:r>
      <w:r w:rsidR="00080847" w:rsidRPr="00AC53C6">
        <w:rPr>
          <w:rFonts w:hint="cs"/>
          <w:rtl/>
        </w:rPr>
        <w:t>ו</w:t>
      </w:r>
      <w:r w:rsidRPr="00AC53C6">
        <w:rPr>
          <w:rFonts w:hint="cs"/>
          <w:rtl/>
        </w:rPr>
        <w:t>קק חוק התגברות</w:t>
      </w:r>
      <w:r w:rsidR="00080847" w:rsidRPr="00AC53C6">
        <w:rPr>
          <w:rFonts w:hint="cs"/>
          <w:rtl/>
        </w:rPr>
        <w:t>,</w:t>
      </w:r>
      <w:r w:rsidRPr="00AC53C6">
        <w:rPr>
          <w:rFonts w:hint="cs"/>
          <w:rtl/>
        </w:rPr>
        <w:t xml:space="preserve"> לא יהיה עוד תוקף לפסיקת בית המשפט והחוק הסותר את </w:t>
      </w:r>
      <w:r w:rsidR="00080847" w:rsidRPr="00AC53C6">
        <w:rPr>
          <w:rFonts w:hint="cs"/>
          <w:rtl/>
        </w:rPr>
        <w:t xml:space="preserve">חוק היסוד </w:t>
      </w:r>
      <w:r w:rsidRPr="00AC53C6">
        <w:rPr>
          <w:rFonts w:hint="cs"/>
          <w:rtl/>
        </w:rPr>
        <w:t>יעמוד בעינו.</w:t>
      </w:r>
    </w:p>
    <w:p w14:paraId="34EE7F07" w14:textId="0DF917E0" w:rsidR="00C224B1" w:rsidRPr="00AC53C6" w:rsidRDefault="00216BBA" w:rsidP="00AC53C6">
      <w:pPr>
        <w:pStyle w:val="Hesber"/>
        <w:rPr>
          <w:rtl/>
        </w:rPr>
      </w:pPr>
      <w:r w:rsidRPr="00AC53C6">
        <w:rPr>
          <w:rFonts w:hint="cs"/>
          <w:rtl/>
        </w:rPr>
        <w:t xml:space="preserve">סוגיה נוספת המוסדרת בחוק המוצע היא השחיקה ההולכת וגוברת לה אנו עדים </w:t>
      </w:r>
      <w:r w:rsidR="00C224B1" w:rsidRPr="00AC53C6">
        <w:rPr>
          <w:rFonts w:hint="cs"/>
          <w:rtl/>
        </w:rPr>
        <w:t xml:space="preserve">בשנים האחרונות  </w:t>
      </w:r>
      <w:r w:rsidRPr="00AC53C6">
        <w:rPr>
          <w:rFonts w:hint="cs"/>
          <w:rtl/>
        </w:rPr>
        <w:t>ב</w:t>
      </w:r>
      <w:r w:rsidR="00C224B1" w:rsidRPr="00AC53C6">
        <w:rPr>
          <w:rFonts w:hint="cs"/>
          <w:rtl/>
        </w:rPr>
        <w:t xml:space="preserve">"זכות העמידה", המגבילה את היכולת לעתור לבית המשפט </w:t>
      </w:r>
      <w:r w:rsidR="003F6E98" w:rsidRPr="00AC53C6">
        <w:rPr>
          <w:rFonts w:hint="cs"/>
          <w:rtl/>
        </w:rPr>
        <w:t xml:space="preserve">רק </w:t>
      </w:r>
      <w:r w:rsidR="00C224B1" w:rsidRPr="00AC53C6">
        <w:rPr>
          <w:rFonts w:hint="cs"/>
          <w:rtl/>
        </w:rPr>
        <w:t xml:space="preserve">למי שנפגע או שקשור </w:t>
      </w:r>
      <w:r w:rsidR="00A02A9C" w:rsidRPr="00AC53C6">
        <w:rPr>
          <w:rFonts w:hint="cs"/>
          <w:rtl/>
        </w:rPr>
        <w:t>לנידון ב</w:t>
      </w:r>
      <w:r w:rsidR="00C224B1" w:rsidRPr="00AC53C6">
        <w:rPr>
          <w:rFonts w:hint="cs"/>
          <w:rtl/>
        </w:rPr>
        <w:t>עתירה. התוצאה היא התרבותן של עתירות המוגשות על ידי ארגונים ופרטים בנושאים פוליטיים, מדיניים וכלכליים, כאשר לעותר עצמו אין כל קשר לעניין נשוא העתירה</w:t>
      </w:r>
      <w:r w:rsidR="00A02A9C" w:rsidRPr="00AC53C6">
        <w:rPr>
          <w:rFonts w:hint="cs"/>
          <w:rtl/>
        </w:rPr>
        <w:t>,</w:t>
      </w:r>
      <w:r w:rsidR="00C224B1" w:rsidRPr="00AC53C6">
        <w:rPr>
          <w:rtl/>
        </w:rPr>
        <w:t xml:space="preserve"> ולא נגרמת לו פגיעה אישית</w:t>
      </w:r>
      <w:r w:rsidR="005819A5" w:rsidRPr="00AC53C6">
        <w:rPr>
          <w:rFonts w:hint="cs"/>
          <w:rtl/>
        </w:rPr>
        <w:t xml:space="preserve"> </w:t>
      </w:r>
      <w:r w:rsidR="00C224B1" w:rsidRPr="00AC53C6">
        <w:rPr>
          <w:rFonts w:hint="eastAsia"/>
          <w:rtl/>
        </w:rPr>
        <w:t>ב</w:t>
      </w:r>
      <w:r w:rsidR="00C224B1" w:rsidRPr="00AC53C6">
        <w:rPr>
          <w:rFonts w:hint="cs"/>
          <w:rtl/>
        </w:rPr>
        <w:t>שלה הוא מבקש סעד. עתירות אלו נועדות להוביל להתערבות שיפוטית בעניינים שאינם נמצאים ברגיל בתחום עניינו של בית המשפט, ובכך לעקוף את סמכות הדרג הנבחר ואת הכרעות הבוחר.</w:t>
      </w:r>
    </w:p>
    <w:p w14:paraId="3C8BFE71" w14:textId="3DBD261B" w:rsidR="00C224B1" w:rsidRPr="00AC53C6" w:rsidRDefault="00C224B1" w:rsidP="00AC53C6">
      <w:pPr>
        <w:pStyle w:val="Hesber"/>
        <w:rPr>
          <w:rtl/>
        </w:rPr>
      </w:pPr>
      <w:r w:rsidRPr="00AC53C6">
        <w:rPr>
          <w:rtl/>
        </w:rPr>
        <w:t xml:space="preserve"> דוגמאות לעתירות מסוג זה ניתן למצוא בעתירות שעניינן הריסת יישובים בשטחי יהודה ושומרון, המוגשות כנגד יישובים </w:t>
      </w:r>
      <w:r w:rsidR="002170A4" w:rsidRPr="00AC53C6">
        <w:rPr>
          <w:rFonts w:hint="cs"/>
          <w:rtl/>
        </w:rPr>
        <w:t>משגשגים</w:t>
      </w:r>
      <w:r w:rsidRPr="00AC53C6">
        <w:rPr>
          <w:rFonts w:hint="cs"/>
          <w:rtl/>
        </w:rPr>
        <w:t xml:space="preserve"> העומדים על תילם עשרות שנים </w:t>
      </w:r>
      <w:r w:rsidR="004F1FA1" w:rsidRPr="00AC53C6">
        <w:rPr>
          <w:rFonts w:hint="cs"/>
          <w:rtl/>
        </w:rPr>
        <w:t>ו</w:t>
      </w:r>
      <w:r w:rsidRPr="00AC53C6">
        <w:rPr>
          <w:rFonts w:hint="cs"/>
          <w:rtl/>
        </w:rPr>
        <w:t xml:space="preserve">המהווים בית וקהילה לעשרות ומאות משפחות. </w:t>
      </w:r>
      <w:r w:rsidRPr="00AC53C6">
        <w:rPr>
          <w:rFonts w:hint="eastAsia"/>
          <w:rtl/>
        </w:rPr>
        <w:t>בעוד</w:t>
      </w:r>
      <w:r w:rsidRPr="00AC53C6">
        <w:rPr>
          <w:rtl/>
        </w:rPr>
        <w:t xml:space="preserve"> שזכותו של האדם לדרוש את קניינו הי</w:t>
      </w:r>
      <w:r w:rsidR="002170A4" w:rsidRPr="00AC53C6">
        <w:rPr>
          <w:rFonts w:hint="cs"/>
          <w:rtl/>
        </w:rPr>
        <w:t>א</w:t>
      </w:r>
      <w:r w:rsidRPr="00AC53C6">
        <w:rPr>
          <w:rtl/>
        </w:rPr>
        <w:t xml:space="preserve"> זכות חוקתית, הרי שברבות מן העתירות, המסתיימות לעיתים אף בצו המורה על הריסת היישוב או </w:t>
      </w:r>
      <w:r w:rsidRPr="00AC53C6">
        <w:rPr>
          <w:rFonts w:hint="cs"/>
          <w:rtl/>
        </w:rPr>
        <w:t>הבתים בו, אין העותרים מוכיחים כל זכות או זיקה למקרקעין עליהם ניצבים הבתים שאת הריס</w:t>
      </w:r>
      <w:r w:rsidRPr="00AC53C6">
        <w:rPr>
          <w:rFonts w:hint="eastAsia"/>
          <w:rtl/>
        </w:rPr>
        <w:t>תם</w:t>
      </w:r>
      <w:r w:rsidRPr="00AC53C6">
        <w:rPr>
          <w:rtl/>
        </w:rPr>
        <w:t xml:space="preserve"> </w:t>
      </w:r>
      <w:r w:rsidRPr="00AC53C6">
        <w:rPr>
          <w:rFonts w:hint="eastAsia"/>
          <w:rtl/>
        </w:rPr>
        <w:t>הם</w:t>
      </w:r>
      <w:r w:rsidRPr="00AC53C6">
        <w:rPr>
          <w:rtl/>
        </w:rPr>
        <w:t xml:space="preserve"> </w:t>
      </w:r>
      <w:r w:rsidRPr="00AC53C6">
        <w:rPr>
          <w:rFonts w:hint="eastAsia"/>
          <w:rtl/>
        </w:rPr>
        <w:t>מבקשים</w:t>
      </w:r>
      <w:r w:rsidRPr="00AC53C6">
        <w:rPr>
          <w:rtl/>
        </w:rPr>
        <w:t>.</w:t>
      </w:r>
    </w:p>
    <w:p w14:paraId="61AD1927" w14:textId="77777777" w:rsidR="00C224B1" w:rsidRPr="00AC53C6" w:rsidRDefault="00C224B1" w:rsidP="00AC53C6">
      <w:pPr>
        <w:pStyle w:val="Hesber"/>
        <w:rPr>
          <w:rtl/>
        </w:rPr>
      </w:pPr>
      <w:r w:rsidRPr="00AC53C6">
        <w:rPr>
          <w:rFonts w:hint="eastAsia"/>
          <w:rtl/>
        </w:rPr>
        <w:t>בדומה</w:t>
      </w:r>
      <w:r w:rsidRPr="00AC53C6">
        <w:rPr>
          <w:rtl/>
        </w:rPr>
        <w:t xml:space="preserve">, </w:t>
      </w:r>
      <w:r w:rsidRPr="00AC53C6">
        <w:rPr>
          <w:rFonts w:hint="eastAsia"/>
          <w:rtl/>
        </w:rPr>
        <w:t>גם</w:t>
      </w:r>
      <w:r w:rsidRPr="00AC53C6">
        <w:rPr>
          <w:rtl/>
        </w:rPr>
        <w:t xml:space="preserve"> </w:t>
      </w:r>
      <w:r w:rsidRPr="00AC53C6">
        <w:rPr>
          <w:rFonts w:hint="eastAsia"/>
          <w:rtl/>
        </w:rPr>
        <w:t>בעניין</w:t>
      </w:r>
      <w:r w:rsidRPr="00AC53C6">
        <w:rPr>
          <w:rtl/>
        </w:rPr>
        <w:t xml:space="preserve"> </w:t>
      </w:r>
      <w:r w:rsidRPr="00AC53C6">
        <w:rPr>
          <w:rFonts w:hint="eastAsia"/>
          <w:rtl/>
        </w:rPr>
        <w:t>מתווה</w:t>
      </w:r>
      <w:r w:rsidRPr="00AC53C6">
        <w:rPr>
          <w:rtl/>
        </w:rPr>
        <w:t xml:space="preserve"> </w:t>
      </w:r>
      <w:r w:rsidRPr="00AC53C6">
        <w:rPr>
          <w:rFonts w:hint="eastAsia"/>
          <w:rtl/>
        </w:rPr>
        <w:t>הגז</w:t>
      </w:r>
      <w:r w:rsidRPr="00AC53C6">
        <w:rPr>
          <w:rtl/>
        </w:rPr>
        <w:t xml:space="preserve"> </w:t>
      </w:r>
      <w:r w:rsidRPr="00AC53C6">
        <w:rPr>
          <w:rFonts w:hint="eastAsia"/>
          <w:rtl/>
        </w:rPr>
        <w:t>נעשה</w:t>
      </w:r>
      <w:r w:rsidRPr="00AC53C6">
        <w:rPr>
          <w:rtl/>
        </w:rPr>
        <w:t xml:space="preserve"> </w:t>
      </w:r>
      <w:r w:rsidRPr="00AC53C6">
        <w:rPr>
          <w:rFonts w:hint="eastAsia"/>
          <w:rtl/>
        </w:rPr>
        <w:t>ניסיון</w:t>
      </w:r>
      <w:r w:rsidRPr="00AC53C6">
        <w:rPr>
          <w:rtl/>
        </w:rPr>
        <w:t xml:space="preserve"> </w:t>
      </w:r>
      <w:r w:rsidRPr="00AC53C6">
        <w:rPr>
          <w:rFonts w:hint="eastAsia"/>
          <w:rtl/>
        </w:rPr>
        <w:t>לעשות</w:t>
      </w:r>
      <w:r w:rsidRPr="00AC53C6">
        <w:rPr>
          <w:rtl/>
        </w:rPr>
        <w:t xml:space="preserve"> </w:t>
      </w:r>
      <w:r w:rsidRPr="00AC53C6">
        <w:rPr>
          <w:rFonts w:hint="eastAsia"/>
          <w:rtl/>
        </w:rPr>
        <w:t>שימוש</w:t>
      </w:r>
      <w:r w:rsidRPr="00AC53C6">
        <w:rPr>
          <w:rtl/>
        </w:rPr>
        <w:t xml:space="preserve"> </w:t>
      </w:r>
      <w:r w:rsidRPr="00AC53C6">
        <w:rPr>
          <w:rFonts w:hint="eastAsia"/>
          <w:rtl/>
        </w:rPr>
        <w:t>בבית</w:t>
      </w:r>
      <w:r w:rsidRPr="00AC53C6">
        <w:rPr>
          <w:rtl/>
        </w:rPr>
        <w:t xml:space="preserve"> </w:t>
      </w:r>
      <w:r w:rsidRPr="00AC53C6">
        <w:rPr>
          <w:rFonts w:hint="eastAsia"/>
          <w:rtl/>
        </w:rPr>
        <w:t>המשפט</w:t>
      </w:r>
      <w:r w:rsidRPr="00AC53C6">
        <w:rPr>
          <w:rtl/>
        </w:rPr>
        <w:t xml:space="preserve"> </w:t>
      </w:r>
      <w:r w:rsidRPr="00AC53C6">
        <w:rPr>
          <w:rFonts w:hint="eastAsia"/>
          <w:rtl/>
        </w:rPr>
        <w:t>לצורך</w:t>
      </w:r>
      <w:r w:rsidRPr="00AC53C6">
        <w:rPr>
          <w:rtl/>
        </w:rPr>
        <w:t xml:space="preserve"> </w:t>
      </w:r>
      <w:r w:rsidRPr="00AC53C6">
        <w:rPr>
          <w:rFonts w:hint="eastAsia"/>
          <w:rtl/>
        </w:rPr>
        <w:t>עקיפת</w:t>
      </w:r>
      <w:r w:rsidRPr="00AC53C6">
        <w:rPr>
          <w:rtl/>
        </w:rPr>
        <w:t xml:space="preserve"> </w:t>
      </w:r>
      <w:r w:rsidRPr="00AC53C6">
        <w:rPr>
          <w:rFonts w:hint="eastAsia"/>
          <w:rtl/>
        </w:rPr>
        <w:t>החלטות</w:t>
      </w:r>
      <w:r w:rsidRPr="00AC53C6">
        <w:rPr>
          <w:rtl/>
        </w:rPr>
        <w:t xml:space="preserve"> </w:t>
      </w:r>
      <w:r w:rsidRPr="00AC53C6">
        <w:rPr>
          <w:rFonts w:hint="eastAsia"/>
          <w:rtl/>
        </w:rPr>
        <w:t>שהתקבלו</w:t>
      </w:r>
      <w:r w:rsidRPr="00AC53C6">
        <w:rPr>
          <w:rtl/>
        </w:rPr>
        <w:t xml:space="preserve"> </w:t>
      </w:r>
      <w:r w:rsidRPr="00AC53C6">
        <w:rPr>
          <w:rFonts w:hint="eastAsia"/>
          <w:rtl/>
        </w:rPr>
        <w:t>ע</w:t>
      </w:r>
      <w:r w:rsidRPr="00AC53C6">
        <w:rPr>
          <w:rFonts w:hint="cs"/>
          <w:rtl/>
        </w:rPr>
        <w:t>ל ידי הרשות המבצעת והמחוקקת, כאשר לעותרים אין כל עניין אישי בעתירה.</w:t>
      </w:r>
    </w:p>
    <w:p w14:paraId="48AAE0C8" w14:textId="6EB05F8E" w:rsidR="00C224B1" w:rsidRPr="00AC53C6" w:rsidRDefault="00C224B1" w:rsidP="00AC53C6">
      <w:pPr>
        <w:pStyle w:val="Hesber"/>
        <w:rPr>
          <w:rtl/>
        </w:rPr>
      </w:pPr>
      <w:r w:rsidRPr="00AC53C6">
        <w:rPr>
          <w:rFonts w:hint="eastAsia"/>
          <w:rtl/>
        </w:rPr>
        <w:t>מצב</w:t>
      </w:r>
      <w:r w:rsidRPr="00AC53C6">
        <w:rPr>
          <w:rtl/>
        </w:rPr>
        <w:t xml:space="preserve"> </w:t>
      </w:r>
      <w:r w:rsidRPr="00AC53C6">
        <w:rPr>
          <w:rFonts w:hint="eastAsia"/>
          <w:rtl/>
        </w:rPr>
        <w:t>דברים</w:t>
      </w:r>
      <w:r w:rsidRPr="00AC53C6">
        <w:rPr>
          <w:rtl/>
        </w:rPr>
        <w:t xml:space="preserve"> </w:t>
      </w:r>
      <w:r w:rsidRPr="00AC53C6">
        <w:rPr>
          <w:rFonts w:hint="eastAsia"/>
          <w:rtl/>
        </w:rPr>
        <w:t>זה</w:t>
      </w:r>
      <w:r w:rsidRPr="00AC53C6">
        <w:rPr>
          <w:rtl/>
        </w:rPr>
        <w:t xml:space="preserve"> </w:t>
      </w:r>
      <w:r w:rsidRPr="00AC53C6">
        <w:rPr>
          <w:rFonts w:hint="eastAsia"/>
          <w:rtl/>
        </w:rPr>
        <w:t>מאפשר</w:t>
      </w:r>
      <w:r w:rsidRPr="00AC53C6">
        <w:rPr>
          <w:rtl/>
        </w:rPr>
        <w:t xml:space="preserve"> </w:t>
      </w:r>
      <w:r w:rsidRPr="00AC53C6">
        <w:rPr>
          <w:rFonts w:hint="eastAsia"/>
          <w:rtl/>
        </w:rPr>
        <w:t>לגורמים</w:t>
      </w:r>
      <w:r w:rsidRPr="00AC53C6">
        <w:rPr>
          <w:rtl/>
        </w:rPr>
        <w:t xml:space="preserve"> </w:t>
      </w:r>
      <w:r w:rsidRPr="00AC53C6">
        <w:rPr>
          <w:rFonts w:hint="eastAsia"/>
          <w:rtl/>
        </w:rPr>
        <w:t>בעלי</w:t>
      </w:r>
      <w:r w:rsidRPr="00AC53C6">
        <w:rPr>
          <w:rtl/>
        </w:rPr>
        <w:t xml:space="preserve"> </w:t>
      </w:r>
      <w:r w:rsidRPr="00AC53C6">
        <w:rPr>
          <w:rFonts w:hint="eastAsia"/>
          <w:rtl/>
        </w:rPr>
        <w:t>עניין</w:t>
      </w:r>
      <w:r w:rsidRPr="00AC53C6">
        <w:rPr>
          <w:rtl/>
        </w:rPr>
        <w:t xml:space="preserve"> </w:t>
      </w:r>
      <w:r w:rsidRPr="00AC53C6">
        <w:rPr>
          <w:rFonts w:hint="eastAsia"/>
          <w:rtl/>
        </w:rPr>
        <w:t>פוליטי</w:t>
      </w:r>
      <w:r w:rsidRPr="00AC53C6">
        <w:rPr>
          <w:rtl/>
        </w:rPr>
        <w:t xml:space="preserve"> </w:t>
      </w:r>
      <w:r w:rsidRPr="00AC53C6">
        <w:rPr>
          <w:rFonts w:hint="eastAsia"/>
          <w:rtl/>
        </w:rPr>
        <w:t>לאלץ</w:t>
      </w:r>
      <w:r w:rsidRPr="00AC53C6">
        <w:rPr>
          <w:rtl/>
        </w:rPr>
        <w:t xml:space="preserve"> </w:t>
      </w:r>
      <w:r w:rsidRPr="00AC53C6">
        <w:rPr>
          <w:rFonts w:hint="eastAsia"/>
          <w:rtl/>
        </w:rPr>
        <w:t>את</w:t>
      </w:r>
      <w:r w:rsidRPr="00AC53C6">
        <w:rPr>
          <w:rtl/>
        </w:rPr>
        <w:t xml:space="preserve"> </w:t>
      </w:r>
      <w:r w:rsidRPr="00AC53C6">
        <w:rPr>
          <w:rFonts w:hint="eastAsia"/>
          <w:rtl/>
        </w:rPr>
        <w:t>הרשות</w:t>
      </w:r>
      <w:r w:rsidRPr="00AC53C6">
        <w:rPr>
          <w:rtl/>
        </w:rPr>
        <w:t xml:space="preserve"> </w:t>
      </w:r>
      <w:r w:rsidRPr="00AC53C6">
        <w:rPr>
          <w:rFonts w:hint="eastAsia"/>
          <w:rtl/>
        </w:rPr>
        <w:t>המבצעת</w:t>
      </w:r>
      <w:r w:rsidRPr="00AC53C6">
        <w:rPr>
          <w:rtl/>
        </w:rPr>
        <w:t xml:space="preserve"> </w:t>
      </w:r>
      <w:r w:rsidRPr="00AC53C6">
        <w:rPr>
          <w:rFonts w:hint="eastAsia"/>
          <w:rtl/>
        </w:rPr>
        <w:t>לפעול</w:t>
      </w:r>
      <w:r w:rsidRPr="00AC53C6">
        <w:rPr>
          <w:rtl/>
        </w:rPr>
        <w:t xml:space="preserve"> </w:t>
      </w:r>
      <w:r w:rsidRPr="00AC53C6">
        <w:rPr>
          <w:rFonts w:hint="eastAsia"/>
          <w:rtl/>
        </w:rPr>
        <w:t>בניגוד</w:t>
      </w:r>
      <w:r w:rsidRPr="00AC53C6">
        <w:rPr>
          <w:rtl/>
        </w:rPr>
        <w:t xml:space="preserve"> </w:t>
      </w:r>
      <w:r w:rsidRPr="00AC53C6">
        <w:rPr>
          <w:rFonts w:hint="eastAsia"/>
          <w:rtl/>
        </w:rPr>
        <w:t>לסדרי</w:t>
      </w:r>
      <w:r w:rsidRPr="00AC53C6">
        <w:rPr>
          <w:rtl/>
        </w:rPr>
        <w:t xml:space="preserve"> </w:t>
      </w:r>
      <w:r w:rsidRPr="00AC53C6">
        <w:rPr>
          <w:rFonts w:hint="eastAsia"/>
          <w:rtl/>
        </w:rPr>
        <w:t>העדיפות</w:t>
      </w:r>
      <w:r w:rsidRPr="00AC53C6">
        <w:rPr>
          <w:rtl/>
        </w:rPr>
        <w:t xml:space="preserve"> </w:t>
      </w:r>
      <w:r w:rsidRPr="00AC53C6">
        <w:rPr>
          <w:rFonts w:hint="eastAsia"/>
          <w:rtl/>
        </w:rPr>
        <w:t>שלה</w:t>
      </w:r>
      <w:r w:rsidRPr="00AC53C6">
        <w:rPr>
          <w:rtl/>
        </w:rPr>
        <w:t xml:space="preserve"> </w:t>
      </w:r>
      <w:r w:rsidRPr="00AC53C6">
        <w:rPr>
          <w:rFonts w:hint="eastAsia"/>
          <w:rtl/>
        </w:rPr>
        <w:t>ולמטרות</w:t>
      </w:r>
      <w:r w:rsidRPr="00AC53C6">
        <w:rPr>
          <w:rtl/>
        </w:rPr>
        <w:t xml:space="preserve"> </w:t>
      </w:r>
      <w:r w:rsidRPr="00AC53C6">
        <w:rPr>
          <w:rFonts w:hint="eastAsia"/>
          <w:rtl/>
        </w:rPr>
        <w:t>לשמן</w:t>
      </w:r>
      <w:r w:rsidRPr="00AC53C6">
        <w:rPr>
          <w:rtl/>
        </w:rPr>
        <w:t xml:space="preserve"> </w:t>
      </w:r>
      <w:r w:rsidRPr="00AC53C6">
        <w:rPr>
          <w:rFonts w:hint="eastAsia"/>
          <w:rtl/>
        </w:rPr>
        <w:t>נבחרה</w:t>
      </w:r>
      <w:r w:rsidRPr="00AC53C6">
        <w:rPr>
          <w:rtl/>
        </w:rPr>
        <w:t xml:space="preserve">, </w:t>
      </w:r>
      <w:r w:rsidRPr="00AC53C6">
        <w:rPr>
          <w:rFonts w:hint="eastAsia"/>
          <w:rtl/>
        </w:rPr>
        <w:t>ולהכתיב</w:t>
      </w:r>
      <w:r w:rsidRPr="00AC53C6">
        <w:rPr>
          <w:rtl/>
        </w:rPr>
        <w:t xml:space="preserve"> </w:t>
      </w:r>
      <w:r w:rsidRPr="00AC53C6">
        <w:rPr>
          <w:rFonts w:hint="eastAsia"/>
          <w:rtl/>
        </w:rPr>
        <w:t>למעשה</w:t>
      </w:r>
      <w:r w:rsidRPr="00AC53C6">
        <w:rPr>
          <w:rtl/>
        </w:rPr>
        <w:t xml:space="preserve"> </w:t>
      </w:r>
      <w:r w:rsidRPr="00AC53C6">
        <w:rPr>
          <w:rFonts w:hint="eastAsia"/>
          <w:rtl/>
        </w:rPr>
        <w:t>את</w:t>
      </w:r>
      <w:r w:rsidRPr="00AC53C6">
        <w:rPr>
          <w:rtl/>
        </w:rPr>
        <w:t xml:space="preserve"> </w:t>
      </w:r>
      <w:r w:rsidRPr="00AC53C6">
        <w:rPr>
          <w:rFonts w:hint="eastAsia"/>
          <w:rtl/>
        </w:rPr>
        <w:t>סדרי</w:t>
      </w:r>
      <w:r w:rsidRPr="00AC53C6">
        <w:rPr>
          <w:rtl/>
        </w:rPr>
        <w:t xml:space="preserve"> </w:t>
      </w:r>
      <w:r w:rsidRPr="00AC53C6">
        <w:rPr>
          <w:rFonts w:hint="eastAsia"/>
          <w:rtl/>
        </w:rPr>
        <w:t>עבודת</w:t>
      </w:r>
      <w:r w:rsidRPr="00AC53C6">
        <w:rPr>
          <w:rtl/>
        </w:rPr>
        <w:t xml:space="preserve"> </w:t>
      </w:r>
      <w:r w:rsidRPr="00AC53C6">
        <w:rPr>
          <w:rFonts w:hint="eastAsia"/>
          <w:rtl/>
        </w:rPr>
        <w:t>הרשות</w:t>
      </w:r>
      <w:r w:rsidR="002C7283" w:rsidRPr="00AC53C6">
        <w:rPr>
          <w:rFonts w:hint="cs"/>
          <w:rtl/>
        </w:rPr>
        <w:t xml:space="preserve"> המבצעת</w:t>
      </w:r>
      <w:r w:rsidRPr="00AC53C6">
        <w:rPr>
          <w:rtl/>
        </w:rPr>
        <w:t xml:space="preserve"> </w:t>
      </w:r>
      <w:r w:rsidRPr="00AC53C6">
        <w:rPr>
          <w:rFonts w:hint="eastAsia"/>
          <w:rtl/>
        </w:rPr>
        <w:t>באמצעות</w:t>
      </w:r>
      <w:r w:rsidRPr="00AC53C6">
        <w:rPr>
          <w:rtl/>
        </w:rPr>
        <w:t xml:space="preserve"> </w:t>
      </w:r>
      <w:r w:rsidRPr="00AC53C6">
        <w:rPr>
          <w:rFonts w:hint="eastAsia"/>
          <w:rtl/>
        </w:rPr>
        <w:t>עתירה</w:t>
      </w:r>
      <w:r w:rsidRPr="00AC53C6">
        <w:rPr>
          <w:rtl/>
        </w:rPr>
        <w:t xml:space="preserve"> </w:t>
      </w:r>
      <w:r w:rsidRPr="00AC53C6">
        <w:rPr>
          <w:rFonts w:hint="eastAsia"/>
          <w:rtl/>
        </w:rPr>
        <w:t>ל</w:t>
      </w:r>
      <w:r w:rsidRPr="00AC53C6">
        <w:rPr>
          <w:rFonts w:hint="cs"/>
          <w:rtl/>
        </w:rPr>
        <w:t xml:space="preserve">בית המשפט הגבוה לצדק, </w:t>
      </w:r>
      <w:r w:rsidRPr="00AC53C6">
        <w:rPr>
          <w:rFonts w:hint="eastAsia"/>
          <w:rtl/>
        </w:rPr>
        <w:t>תוך</w:t>
      </w:r>
      <w:r w:rsidRPr="00AC53C6">
        <w:rPr>
          <w:rtl/>
        </w:rPr>
        <w:t xml:space="preserve"> </w:t>
      </w:r>
      <w:r w:rsidRPr="00AC53C6">
        <w:rPr>
          <w:rFonts w:hint="eastAsia"/>
          <w:rtl/>
        </w:rPr>
        <w:t>עקיפת</w:t>
      </w:r>
      <w:r w:rsidRPr="00AC53C6">
        <w:rPr>
          <w:rtl/>
        </w:rPr>
        <w:t xml:space="preserve"> </w:t>
      </w:r>
      <w:r w:rsidRPr="00AC53C6">
        <w:rPr>
          <w:rFonts w:hint="eastAsia"/>
          <w:rtl/>
        </w:rPr>
        <w:t>רצון</w:t>
      </w:r>
      <w:r w:rsidRPr="00AC53C6">
        <w:rPr>
          <w:rtl/>
        </w:rPr>
        <w:t xml:space="preserve"> </w:t>
      </w:r>
      <w:r w:rsidRPr="00AC53C6">
        <w:rPr>
          <w:rFonts w:hint="eastAsia"/>
          <w:rtl/>
        </w:rPr>
        <w:t>הבוחר</w:t>
      </w:r>
      <w:r w:rsidRPr="00AC53C6">
        <w:rPr>
          <w:rtl/>
        </w:rPr>
        <w:t xml:space="preserve">. </w:t>
      </w:r>
      <w:r w:rsidRPr="00AC53C6">
        <w:rPr>
          <w:rFonts w:hint="eastAsia"/>
          <w:rtl/>
        </w:rPr>
        <w:t>התערבות</w:t>
      </w:r>
      <w:r w:rsidRPr="00AC53C6">
        <w:rPr>
          <w:rtl/>
        </w:rPr>
        <w:t xml:space="preserve"> </w:t>
      </w:r>
      <w:r w:rsidRPr="00AC53C6">
        <w:rPr>
          <w:rFonts w:hint="eastAsia"/>
          <w:rtl/>
        </w:rPr>
        <w:t>זו</w:t>
      </w:r>
      <w:r w:rsidRPr="00AC53C6">
        <w:rPr>
          <w:rtl/>
        </w:rPr>
        <w:t xml:space="preserve"> </w:t>
      </w:r>
      <w:r w:rsidRPr="00AC53C6">
        <w:rPr>
          <w:rFonts w:hint="eastAsia"/>
          <w:rtl/>
        </w:rPr>
        <w:t>אין</w:t>
      </w:r>
      <w:r w:rsidRPr="00AC53C6">
        <w:rPr>
          <w:rtl/>
        </w:rPr>
        <w:t xml:space="preserve"> </w:t>
      </w:r>
      <w:r w:rsidRPr="00AC53C6">
        <w:rPr>
          <w:rFonts w:hint="eastAsia"/>
          <w:rtl/>
        </w:rPr>
        <w:t>לה</w:t>
      </w:r>
      <w:r w:rsidRPr="00AC53C6">
        <w:rPr>
          <w:rtl/>
        </w:rPr>
        <w:t xml:space="preserve"> </w:t>
      </w:r>
      <w:r w:rsidRPr="00AC53C6">
        <w:rPr>
          <w:rFonts w:hint="eastAsia"/>
          <w:rtl/>
        </w:rPr>
        <w:t>דבר</w:t>
      </w:r>
      <w:r w:rsidRPr="00AC53C6">
        <w:rPr>
          <w:rtl/>
        </w:rPr>
        <w:t xml:space="preserve"> </w:t>
      </w:r>
      <w:r w:rsidRPr="00AC53C6">
        <w:rPr>
          <w:rFonts w:hint="eastAsia"/>
          <w:rtl/>
        </w:rPr>
        <w:t>עם</w:t>
      </w:r>
      <w:r w:rsidRPr="00AC53C6">
        <w:rPr>
          <w:rtl/>
        </w:rPr>
        <w:t xml:space="preserve"> </w:t>
      </w:r>
      <w:r w:rsidRPr="00AC53C6">
        <w:rPr>
          <w:rFonts w:hint="eastAsia"/>
          <w:rtl/>
        </w:rPr>
        <w:t>מטרתו</w:t>
      </w:r>
      <w:r w:rsidRPr="00AC53C6">
        <w:rPr>
          <w:rtl/>
        </w:rPr>
        <w:t xml:space="preserve"> </w:t>
      </w:r>
      <w:r w:rsidRPr="00AC53C6">
        <w:rPr>
          <w:rFonts w:hint="eastAsia"/>
          <w:rtl/>
        </w:rPr>
        <w:t>של</w:t>
      </w:r>
      <w:r w:rsidRPr="00AC53C6">
        <w:rPr>
          <w:rtl/>
        </w:rPr>
        <w:t xml:space="preserve"> </w:t>
      </w:r>
      <w:r w:rsidRPr="00AC53C6">
        <w:rPr>
          <w:rFonts w:hint="eastAsia"/>
          <w:rtl/>
        </w:rPr>
        <w:t>בית</w:t>
      </w:r>
      <w:r w:rsidRPr="00AC53C6">
        <w:rPr>
          <w:rtl/>
        </w:rPr>
        <w:t xml:space="preserve"> </w:t>
      </w:r>
      <w:r w:rsidRPr="00AC53C6">
        <w:rPr>
          <w:rFonts w:hint="eastAsia"/>
          <w:rtl/>
        </w:rPr>
        <w:lastRenderedPageBreak/>
        <w:t>המשפט</w:t>
      </w:r>
      <w:r w:rsidRPr="00AC53C6">
        <w:rPr>
          <w:rtl/>
        </w:rPr>
        <w:t xml:space="preserve"> </w:t>
      </w:r>
      <w:r w:rsidRPr="00AC53C6">
        <w:rPr>
          <w:rFonts w:hint="eastAsia"/>
          <w:rtl/>
        </w:rPr>
        <w:t>להעניק</w:t>
      </w:r>
      <w:r w:rsidRPr="00AC53C6">
        <w:rPr>
          <w:rtl/>
        </w:rPr>
        <w:t xml:space="preserve"> </w:t>
      </w:r>
      <w:r w:rsidRPr="00AC53C6">
        <w:rPr>
          <w:rFonts w:hint="eastAsia"/>
          <w:rtl/>
        </w:rPr>
        <w:t>סעד</w:t>
      </w:r>
      <w:r w:rsidRPr="00AC53C6">
        <w:rPr>
          <w:rtl/>
        </w:rPr>
        <w:t xml:space="preserve"> </w:t>
      </w:r>
      <w:r w:rsidRPr="00AC53C6">
        <w:rPr>
          <w:rFonts w:hint="eastAsia"/>
          <w:rtl/>
        </w:rPr>
        <w:t>למי</w:t>
      </w:r>
      <w:r w:rsidRPr="00AC53C6">
        <w:rPr>
          <w:rtl/>
        </w:rPr>
        <w:t xml:space="preserve"> </w:t>
      </w:r>
      <w:r w:rsidRPr="00AC53C6">
        <w:rPr>
          <w:rFonts w:hint="eastAsia"/>
          <w:rtl/>
        </w:rPr>
        <w:t>שנפגע</w:t>
      </w:r>
      <w:r w:rsidRPr="00AC53C6">
        <w:rPr>
          <w:rtl/>
        </w:rPr>
        <w:t xml:space="preserve">, </w:t>
      </w:r>
      <w:r w:rsidRPr="00AC53C6">
        <w:rPr>
          <w:rFonts w:hint="eastAsia"/>
          <w:rtl/>
        </w:rPr>
        <w:t>ויש</w:t>
      </w:r>
      <w:r w:rsidRPr="00AC53C6">
        <w:rPr>
          <w:rtl/>
        </w:rPr>
        <w:t xml:space="preserve"> </w:t>
      </w:r>
      <w:r w:rsidRPr="00AC53C6">
        <w:rPr>
          <w:rFonts w:hint="eastAsia"/>
          <w:rtl/>
        </w:rPr>
        <w:t>בה</w:t>
      </w:r>
      <w:r w:rsidRPr="00AC53C6">
        <w:rPr>
          <w:rtl/>
        </w:rPr>
        <w:t xml:space="preserve"> </w:t>
      </w:r>
      <w:r w:rsidRPr="00AC53C6">
        <w:rPr>
          <w:rFonts w:hint="eastAsia"/>
          <w:rtl/>
        </w:rPr>
        <w:t>משום</w:t>
      </w:r>
      <w:r w:rsidRPr="00AC53C6">
        <w:rPr>
          <w:rtl/>
        </w:rPr>
        <w:t xml:space="preserve"> </w:t>
      </w:r>
      <w:r w:rsidRPr="00AC53C6">
        <w:rPr>
          <w:rFonts w:hint="eastAsia"/>
          <w:rtl/>
        </w:rPr>
        <w:t>פגיעה</w:t>
      </w:r>
      <w:r w:rsidRPr="00AC53C6">
        <w:rPr>
          <w:rtl/>
        </w:rPr>
        <w:t xml:space="preserve"> </w:t>
      </w:r>
      <w:r w:rsidRPr="00AC53C6">
        <w:rPr>
          <w:rFonts w:hint="eastAsia"/>
          <w:rtl/>
        </w:rPr>
        <w:t>חמורה</w:t>
      </w:r>
      <w:r w:rsidRPr="00AC53C6">
        <w:rPr>
          <w:rtl/>
        </w:rPr>
        <w:t xml:space="preserve"> </w:t>
      </w:r>
      <w:r w:rsidRPr="00AC53C6">
        <w:rPr>
          <w:rFonts w:hint="eastAsia"/>
          <w:rtl/>
        </w:rPr>
        <w:t>בעקרון</w:t>
      </w:r>
      <w:r w:rsidRPr="00AC53C6">
        <w:rPr>
          <w:rtl/>
        </w:rPr>
        <w:t xml:space="preserve"> </w:t>
      </w:r>
      <w:r w:rsidRPr="00AC53C6">
        <w:rPr>
          <w:rFonts w:hint="eastAsia"/>
          <w:rtl/>
        </w:rPr>
        <w:t>הפרדת</w:t>
      </w:r>
      <w:r w:rsidRPr="00AC53C6">
        <w:rPr>
          <w:rtl/>
        </w:rPr>
        <w:t xml:space="preserve"> </w:t>
      </w:r>
      <w:r w:rsidRPr="00AC53C6">
        <w:rPr>
          <w:rFonts w:hint="eastAsia"/>
          <w:rtl/>
        </w:rPr>
        <w:t>הרשויות</w:t>
      </w:r>
      <w:r w:rsidRPr="00AC53C6">
        <w:rPr>
          <w:rtl/>
        </w:rPr>
        <w:t>.</w:t>
      </w:r>
    </w:p>
    <w:p w14:paraId="5E7E3CE9" w14:textId="7ED5E7E9" w:rsidR="00C224B1" w:rsidRDefault="00C224B1" w:rsidP="00AC53C6">
      <w:pPr>
        <w:pStyle w:val="Hesber"/>
        <w:rPr>
          <w:rtl/>
        </w:rPr>
      </w:pPr>
      <w:r w:rsidRPr="00AC53C6">
        <w:rPr>
          <w:rFonts w:hint="eastAsia"/>
          <w:rtl/>
        </w:rPr>
        <w:t>עניינה</w:t>
      </w:r>
      <w:r w:rsidRPr="00AC53C6">
        <w:rPr>
          <w:rtl/>
        </w:rPr>
        <w:t xml:space="preserve"> </w:t>
      </w:r>
      <w:r w:rsidRPr="00AC53C6">
        <w:rPr>
          <w:rFonts w:hint="eastAsia"/>
          <w:rtl/>
        </w:rPr>
        <w:t>של</w:t>
      </w:r>
      <w:r w:rsidRPr="00AC53C6">
        <w:rPr>
          <w:rtl/>
        </w:rPr>
        <w:t xml:space="preserve"> </w:t>
      </w:r>
      <w:r w:rsidRPr="00AC53C6">
        <w:rPr>
          <w:rFonts w:hint="eastAsia"/>
          <w:rtl/>
        </w:rPr>
        <w:t>הצעה</w:t>
      </w:r>
      <w:r w:rsidRPr="00AC53C6">
        <w:rPr>
          <w:rtl/>
        </w:rPr>
        <w:t xml:space="preserve"> </w:t>
      </w:r>
      <w:r w:rsidRPr="00AC53C6">
        <w:rPr>
          <w:rFonts w:hint="eastAsia"/>
          <w:rtl/>
        </w:rPr>
        <w:t>זו</w:t>
      </w:r>
      <w:r w:rsidRPr="00AC53C6">
        <w:rPr>
          <w:rtl/>
        </w:rPr>
        <w:t xml:space="preserve"> </w:t>
      </w:r>
      <w:r w:rsidRPr="00AC53C6">
        <w:rPr>
          <w:rFonts w:hint="eastAsia"/>
          <w:rtl/>
        </w:rPr>
        <w:t>הוא</w:t>
      </w:r>
      <w:r w:rsidRPr="00AC53C6">
        <w:rPr>
          <w:rtl/>
        </w:rPr>
        <w:t xml:space="preserve"> </w:t>
      </w:r>
      <w:r w:rsidRPr="00AC53C6">
        <w:rPr>
          <w:rFonts w:hint="eastAsia"/>
          <w:rtl/>
        </w:rPr>
        <w:t>תיקונו</w:t>
      </w:r>
      <w:r w:rsidRPr="00AC53C6">
        <w:rPr>
          <w:rtl/>
        </w:rPr>
        <w:t xml:space="preserve"> </w:t>
      </w:r>
      <w:r w:rsidRPr="00AC53C6">
        <w:rPr>
          <w:rFonts w:hint="eastAsia"/>
          <w:rtl/>
        </w:rPr>
        <w:t>של</w:t>
      </w:r>
      <w:r w:rsidRPr="00AC53C6">
        <w:rPr>
          <w:rtl/>
        </w:rPr>
        <w:t xml:space="preserve"> </w:t>
      </w:r>
      <w:r w:rsidRPr="00AC53C6">
        <w:rPr>
          <w:rFonts w:hint="eastAsia"/>
          <w:rtl/>
        </w:rPr>
        <w:t>חוק</w:t>
      </w:r>
      <w:r w:rsidRPr="00AC53C6">
        <w:rPr>
          <w:rFonts w:hint="cs"/>
          <w:rtl/>
        </w:rPr>
        <w:t>-יסוד: השפיטה באופן שיגביל את זכות העמידה של עותרים</w:t>
      </w:r>
      <w:r w:rsidR="002C7283" w:rsidRPr="00AC53C6">
        <w:rPr>
          <w:rFonts w:hint="cs"/>
          <w:rtl/>
        </w:rPr>
        <w:t>, זאת</w:t>
      </w:r>
      <w:r w:rsidRPr="00AC53C6">
        <w:rPr>
          <w:rFonts w:hint="cs"/>
          <w:rtl/>
        </w:rPr>
        <w:t xml:space="preserve"> בהתאם ל</w:t>
      </w:r>
      <w:r w:rsidR="002170A4" w:rsidRPr="00AC53C6">
        <w:rPr>
          <w:rFonts w:hint="cs"/>
          <w:rtl/>
        </w:rPr>
        <w:t>מה שמקובל במדינות אחרות</w:t>
      </w:r>
      <w:r w:rsidRPr="00AC53C6">
        <w:rPr>
          <w:rFonts w:hint="cs"/>
          <w:rtl/>
        </w:rPr>
        <w:t>, ובהתאם לז</w:t>
      </w:r>
      <w:r w:rsidRPr="00AC53C6">
        <w:rPr>
          <w:rFonts w:hint="eastAsia"/>
          <w:rtl/>
        </w:rPr>
        <w:t>כות</w:t>
      </w:r>
      <w:r w:rsidRPr="00AC53C6">
        <w:rPr>
          <w:rtl/>
        </w:rPr>
        <w:t xml:space="preserve"> העמידה שהייתה נהוגה בישראל טרם </w:t>
      </w:r>
      <w:r w:rsidRPr="00AC53C6">
        <w:rPr>
          <w:rFonts w:hint="eastAsia"/>
          <w:rtl/>
        </w:rPr>
        <w:t>נשחק</w:t>
      </w:r>
      <w:r w:rsidR="002C7283" w:rsidRPr="00AC53C6">
        <w:rPr>
          <w:rFonts w:hint="cs"/>
          <w:rtl/>
        </w:rPr>
        <w:t xml:space="preserve"> מעמדה</w:t>
      </w:r>
      <w:r w:rsidRPr="00AC53C6">
        <w:rPr>
          <w:rtl/>
        </w:rPr>
        <w:t xml:space="preserve"> </w:t>
      </w:r>
      <w:r w:rsidRPr="00AC53C6">
        <w:rPr>
          <w:rFonts w:hint="eastAsia"/>
          <w:rtl/>
        </w:rPr>
        <w:t>ב</w:t>
      </w:r>
      <w:r w:rsidR="002C7283" w:rsidRPr="00AC53C6">
        <w:rPr>
          <w:rFonts w:hint="cs"/>
          <w:rtl/>
        </w:rPr>
        <w:t xml:space="preserve">עקבות </w:t>
      </w:r>
      <w:r w:rsidRPr="00AC53C6">
        <w:rPr>
          <w:rFonts w:hint="eastAsia"/>
          <w:rtl/>
        </w:rPr>
        <w:t>פסיק</w:t>
      </w:r>
      <w:r w:rsidR="002C7283" w:rsidRPr="00AC53C6">
        <w:rPr>
          <w:rFonts w:hint="cs"/>
          <w:rtl/>
        </w:rPr>
        <w:t>ו</w:t>
      </w:r>
      <w:r w:rsidRPr="00AC53C6">
        <w:rPr>
          <w:rFonts w:hint="eastAsia"/>
          <w:rtl/>
        </w:rPr>
        <w:t>ת</w:t>
      </w:r>
      <w:r w:rsidRPr="00AC53C6">
        <w:rPr>
          <w:rtl/>
        </w:rPr>
        <w:t xml:space="preserve"> </w:t>
      </w:r>
      <w:r w:rsidRPr="00AC53C6">
        <w:rPr>
          <w:rFonts w:hint="eastAsia"/>
          <w:rtl/>
        </w:rPr>
        <w:t>בית</w:t>
      </w:r>
      <w:r w:rsidRPr="00AC53C6">
        <w:rPr>
          <w:rtl/>
        </w:rPr>
        <w:t xml:space="preserve"> </w:t>
      </w:r>
      <w:r w:rsidRPr="00AC53C6">
        <w:rPr>
          <w:rFonts w:hint="eastAsia"/>
          <w:rtl/>
        </w:rPr>
        <w:t>המשפט</w:t>
      </w:r>
      <w:r w:rsidRPr="00AC53C6">
        <w:rPr>
          <w:rtl/>
        </w:rPr>
        <w:t>.</w:t>
      </w:r>
      <w:r w:rsidR="006103FF" w:rsidRPr="00AC53C6">
        <w:rPr>
          <w:rFonts w:hint="cs"/>
          <w:rtl/>
        </w:rPr>
        <w:t xml:space="preserve"> </w:t>
      </w:r>
    </w:p>
    <w:p w14:paraId="76812479" w14:textId="77777777" w:rsidR="001114A0" w:rsidRDefault="001114A0" w:rsidP="00AC53C6">
      <w:pPr>
        <w:pStyle w:val="Hesber"/>
        <w:rPr>
          <w:rtl/>
        </w:rPr>
      </w:pPr>
    </w:p>
    <w:p w14:paraId="53611CD5" w14:textId="77777777" w:rsidR="001114A0" w:rsidRDefault="001114A0" w:rsidP="00AC53C6">
      <w:pPr>
        <w:pStyle w:val="Hesber"/>
        <w:rPr>
          <w:rtl/>
        </w:rPr>
      </w:pPr>
    </w:p>
    <w:p w14:paraId="2EC668E5" w14:textId="77777777" w:rsidR="001114A0" w:rsidRPr="00D73212" w:rsidRDefault="001114A0" w:rsidP="001114A0">
      <w:pPr>
        <w:pStyle w:val="Hesber"/>
        <w:ind w:firstLine="0"/>
        <w:rPr>
          <w:color w:val="auto"/>
          <w:rtl/>
          <w:lang w:eastAsia="en-US"/>
        </w:rPr>
      </w:pPr>
      <w:r w:rsidRPr="00D73212">
        <w:rPr>
          <w:color w:val="auto"/>
          <w:rtl/>
          <w:lang w:eastAsia="en-US"/>
        </w:rPr>
        <w:t>---------------------------------</w:t>
      </w:r>
    </w:p>
    <w:p w14:paraId="0CB2D7C3" w14:textId="77777777" w:rsidR="001114A0" w:rsidRPr="0051670D" w:rsidRDefault="001114A0" w:rsidP="001114A0">
      <w:pPr>
        <w:pStyle w:val="Hesber"/>
        <w:ind w:firstLine="0"/>
        <w:rPr>
          <w:color w:val="auto"/>
          <w:sz w:val="26"/>
          <w:rtl/>
          <w:lang w:eastAsia="en-US"/>
        </w:rPr>
      </w:pPr>
      <w:r w:rsidRPr="0051670D">
        <w:rPr>
          <w:rFonts w:hint="cs"/>
          <w:color w:val="auto"/>
          <w:sz w:val="26"/>
          <w:rtl/>
          <w:lang w:eastAsia="en-US"/>
        </w:rPr>
        <w:t>הוגשה</w:t>
      </w:r>
      <w:r w:rsidRPr="0051670D">
        <w:rPr>
          <w:color w:val="auto"/>
          <w:sz w:val="26"/>
          <w:rtl/>
          <w:lang w:eastAsia="en-US"/>
        </w:rPr>
        <w:t xml:space="preserve"> </w:t>
      </w:r>
      <w:r w:rsidRPr="0051670D">
        <w:rPr>
          <w:rFonts w:hint="cs"/>
          <w:color w:val="auto"/>
          <w:sz w:val="26"/>
          <w:rtl/>
          <w:lang w:eastAsia="en-US"/>
        </w:rPr>
        <w:t>ליו</w:t>
      </w:r>
      <w:r w:rsidRPr="0051670D">
        <w:rPr>
          <w:color w:val="auto"/>
          <w:sz w:val="26"/>
          <w:rtl/>
          <w:lang w:eastAsia="en-US"/>
        </w:rPr>
        <w:t>"</w:t>
      </w:r>
      <w:r w:rsidRPr="0051670D">
        <w:rPr>
          <w:rFonts w:hint="cs"/>
          <w:color w:val="auto"/>
          <w:sz w:val="26"/>
          <w:rtl/>
          <w:lang w:eastAsia="en-US"/>
        </w:rPr>
        <w:t>ר</w:t>
      </w:r>
      <w:r w:rsidRPr="0051670D">
        <w:rPr>
          <w:color w:val="auto"/>
          <w:sz w:val="26"/>
          <w:rtl/>
          <w:lang w:eastAsia="en-US"/>
        </w:rPr>
        <w:t xml:space="preserve"> </w:t>
      </w:r>
      <w:r w:rsidRPr="0051670D">
        <w:rPr>
          <w:rFonts w:hint="cs"/>
          <w:color w:val="auto"/>
          <w:sz w:val="26"/>
          <w:rtl/>
          <w:lang w:eastAsia="en-US"/>
        </w:rPr>
        <w:t>הכנסת</w:t>
      </w:r>
      <w:r w:rsidRPr="0051670D">
        <w:rPr>
          <w:color w:val="auto"/>
          <w:sz w:val="26"/>
          <w:rtl/>
          <w:lang w:eastAsia="en-US"/>
        </w:rPr>
        <w:t xml:space="preserve"> </w:t>
      </w:r>
      <w:r w:rsidRPr="0051670D">
        <w:rPr>
          <w:rFonts w:hint="cs"/>
          <w:color w:val="auto"/>
          <w:sz w:val="26"/>
          <w:rtl/>
          <w:lang w:eastAsia="en-US"/>
        </w:rPr>
        <w:t>והסגנים</w:t>
      </w:r>
    </w:p>
    <w:p w14:paraId="440BFAA7" w14:textId="77777777" w:rsidR="001114A0" w:rsidRPr="0051670D" w:rsidRDefault="001114A0" w:rsidP="001114A0">
      <w:pPr>
        <w:pStyle w:val="Hesber"/>
        <w:ind w:firstLine="0"/>
        <w:rPr>
          <w:color w:val="auto"/>
          <w:sz w:val="26"/>
          <w:rtl/>
          <w:lang w:eastAsia="en-US"/>
        </w:rPr>
      </w:pPr>
      <w:r w:rsidRPr="0051670D">
        <w:rPr>
          <w:rFonts w:hint="cs"/>
          <w:color w:val="auto"/>
          <w:sz w:val="26"/>
          <w:rtl/>
          <w:lang w:eastAsia="en-US"/>
        </w:rPr>
        <w:t>והונחה</w:t>
      </w:r>
      <w:r w:rsidRPr="0051670D">
        <w:rPr>
          <w:color w:val="auto"/>
          <w:sz w:val="26"/>
          <w:rtl/>
          <w:lang w:eastAsia="en-US"/>
        </w:rPr>
        <w:t xml:space="preserve"> </w:t>
      </w:r>
      <w:r w:rsidRPr="0051670D">
        <w:rPr>
          <w:rFonts w:hint="cs"/>
          <w:color w:val="auto"/>
          <w:sz w:val="26"/>
          <w:rtl/>
          <w:lang w:eastAsia="en-US"/>
        </w:rPr>
        <w:t>על</w:t>
      </w:r>
      <w:r w:rsidRPr="0051670D">
        <w:rPr>
          <w:color w:val="auto"/>
          <w:sz w:val="26"/>
          <w:rtl/>
          <w:lang w:eastAsia="en-US"/>
        </w:rPr>
        <w:t xml:space="preserve"> </w:t>
      </w:r>
      <w:r w:rsidRPr="0051670D">
        <w:rPr>
          <w:rFonts w:hint="cs"/>
          <w:color w:val="auto"/>
          <w:sz w:val="26"/>
          <w:rtl/>
          <w:lang w:eastAsia="en-US"/>
        </w:rPr>
        <w:t>שולחן</w:t>
      </w:r>
      <w:r w:rsidRPr="0051670D">
        <w:rPr>
          <w:color w:val="auto"/>
          <w:sz w:val="26"/>
          <w:rtl/>
          <w:lang w:eastAsia="en-US"/>
        </w:rPr>
        <w:t xml:space="preserve"> </w:t>
      </w:r>
      <w:r w:rsidRPr="0051670D">
        <w:rPr>
          <w:rFonts w:hint="cs"/>
          <w:color w:val="auto"/>
          <w:sz w:val="26"/>
          <w:rtl/>
          <w:lang w:eastAsia="en-US"/>
        </w:rPr>
        <w:t>הכנסת</w:t>
      </w:r>
      <w:r w:rsidRPr="0051670D">
        <w:rPr>
          <w:color w:val="auto"/>
          <w:sz w:val="26"/>
          <w:rtl/>
          <w:lang w:eastAsia="en-US"/>
        </w:rPr>
        <w:t xml:space="preserve"> </w:t>
      </w:r>
      <w:r w:rsidRPr="0051670D">
        <w:rPr>
          <w:rFonts w:hint="cs"/>
          <w:color w:val="auto"/>
          <w:sz w:val="26"/>
          <w:rtl/>
          <w:lang w:eastAsia="en-US"/>
        </w:rPr>
        <w:t>ביום</w:t>
      </w:r>
    </w:p>
    <w:p w14:paraId="1A9BB5F5" w14:textId="77777777" w:rsidR="001114A0" w:rsidRPr="0051670D" w:rsidRDefault="001114A0" w:rsidP="001114A0">
      <w:pPr>
        <w:pStyle w:val="Hesber"/>
        <w:ind w:firstLine="0"/>
        <w:rPr>
          <w:sz w:val="26"/>
          <w:rtl/>
        </w:rPr>
      </w:pPr>
      <w:r>
        <w:rPr>
          <w:rFonts w:hint="cs"/>
          <w:color w:val="auto"/>
          <w:rtl/>
          <w:lang w:eastAsia="en-US"/>
        </w:rPr>
        <w:t>כ"ג</w:t>
      </w:r>
      <w:r w:rsidRPr="0051670D">
        <w:rPr>
          <w:rFonts w:hint="cs"/>
          <w:color w:val="auto"/>
          <w:sz w:val="26"/>
          <w:rtl/>
          <w:lang w:eastAsia="en-US"/>
        </w:rPr>
        <w:t xml:space="preserve"> בסיוון התש"ף </w:t>
      </w:r>
      <w:r w:rsidRPr="0051670D">
        <w:rPr>
          <w:color w:val="auto"/>
          <w:sz w:val="26"/>
          <w:rtl/>
          <w:lang w:eastAsia="en-US"/>
        </w:rPr>
        <w:t>–</w:t>
      </w:r>
      <w:r w:rsidRPr="0051670D">
        <w:rPr>
          <w:rFonts w:hint="cs"/>
          <w:color w:val="auto"/>
          <w:sz w:val="26"/>
          <w:rtl/>
          <w:lang w:eastAsia="en-US"/>
        </w:rPr>
        <w:t xml:space="preserve"> </w:t>
      </w:r>
      <w:r>
        <w:rPr>
          <w:rFonts w:hint="cs"/>
          <w:color w:val="auto"/>
          <w:sz w:val="26"/>
          <w:rtl/>
          <w:lang w:eastAsia="en-US"/>
        </w:rPr>
        <w:t>15</w:t>
      </w:r>
      <w:r w:rsidRPr="0051670D">
        <w:rPr>
          <w:rFonts w:hint="cs"/>
          <w:color w:val="auto"/>
          <w:sz w:val="26"/>
          <w:rtl/>
          <w:lang w:eastAsia="en-US"/>
        </w:rPr>
        <w:t>.6.20</w:t>
      </w:r>
    </w:p>
    <w:p w14:paraId="4F9C005A" w14:textId="77777777" w:rsidR="001114A0" w:rsidRPr="00AC53C6" w:rsidRDefault="001114A0" w:rsidP="00AC53C6">
      <w:pPr>
        <w:pStyle w:val="Hesber"/>
        <w:rPr>
          <w:rtl/>
        </w:rPr>
      </w:pPr>
    </w:p>
    <w:p w14:paraId="710D65B5" w14:textId="4C976716" w:rsidR="00285B39" w:rsidRDefault="00285B39" w:rsidP="005819A5">
      <w:pPr>
        <w:widowControl/>
        <w:autoSpaceDE/>
        <w:autoSpaceDN/>
        <w:adjustRightInd/>
        <w:spacing w:before="0" w:line="240" w:lineRule="auto"/>
        <w:ind w:firstLine="0"/>
        <w:textAlignment w:val="auto"/>
        <w:rPr>
          <w:rtl/>
        </w:rPr>
      </w:pPr>
    </w:p>
    <w:sectPr w:rsidR="00285B39"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A15DF1">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D6593B">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087941F6" w14:textId="77777777" w:rsidR="00AB6F48" w:rsidRDefault="00AB6F48" w:rsidP="00AB6F48">
      <w:pPr>
        <w:pStyle w:val="a4"/>
      </w:pPr>
      <w:r>
        <w:rPr>
          <w:rStyle w:val="a5"/>
        </w:rPr>
        <w:footnoteRef/>
      </w:r>
      <w:r>
        <w:rPr>
          <w:rtl/>
        </w:rPr>
        <w:t xml:space="preserve"> </w:t>
      </w:r>
      <w:r>
        <w:rPr>
          <w:rFonts w:hint="cs"/>
          <w:rtl/>
        </w:rPr>
        <w:t>ס"ח התשנ"ח,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72E89"/>
    <w:multiLevelType w:val="hybridMultilevel"/>
    <w:tmpl w:val="05C4A298"/>
    <w:lvl w:ilvl="0" w:tplc="00A8A3C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20167"/>
    <w:multiLevelType w:val="hybridMultilevel"/>
    <w:tmpl w:val="C8724344"/>
    <w:lvl w:ilvl="0" w:tplc="7E62D1C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427ED"/>
    <w:multiLevelType w:val="hybridMultilevel"/>
    <w:tmpl w:val="E116B174"/>
    <w:lvl w:ilvl="0" w:tplc="1C30D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C544D"/>
    <w:multiLevelType w:val="hybridMultilevel"/>
    <w:tmpl w:val="CA7EDB48"/>
    <w:lvl w:ilvl="0" w:tplc="746489A4">
      <w:start w:val="1"/>
      <w:numFmt w:val="decimal"/>
      <w:lvlText w:val="%1."/>
      <w:lvlJc w:val="left"/>
      <w:pPr>
        <w:tabs>
          <w:tab w:val="num" w:pos="0"/>
        </w:tabs>
        <w:ind w:left="0" w:firstLine="0"/>
      </w:pPr>
      <w:rPr>
        <w:rFonts w:hint="default"/>
      </w:rPr>
    </w:lvl>
    <w:lvl w:ilvl="1" w:tplc="EF264E72">
      <w:start w:val="2"/>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0661"/>
    <w:rsid w:val="0000131B"/>
    <w:rsid w:val="00015B27"/>
    <w:rsid w:val="00063A3E"/>
    <w:rsid w:val="00072CAC"/>
    <w:rsid w:val="0007681A"/>
    <w:rsid w:val="00080847"/>
    <w:rsid w:val="0009599E"/>
    <w:rsid w:val="000A3195"/>
    <w:rsid w:val="000A542E"/>
    <w:rsid w:val="00102B6B"/>
    <w:rsid w:val="001052D4"/>
    <w:rsid w:val="0010644B"/>
    <w:rsid w:val="001114A0"/>
    <w:rsid w:val="001207F8"/>
    <w:rsid w:val="00121924"/>
    <w:rsid w:val="001279A8"/>
    <w:rsid w:val="0014195F"/>
    <w:rsid w:val="001455B7"/>
    <w:rsid w:val="00152609"/>
    <w:rsid w:val="00153E1B"/>
    <w:rsid w:val="001A0623"/>
    <w:rsid w:val="001C23B0"/>
    <w:rsid w:val="001D7AAF"/>
    <w:rsid w:val="00203A7F"/>
    <w:rsid w:val="0021633A"/>
    <w:rsid w:val="00216BBA"/>
    <w:rsid w:val="002170A4"/>
    <w:rsid w:val="002200A1"/>
    <w:rsid w:val="002362BF"/>
    <w:rsid w:val="00236B3F"/>
    <w:rsid w:val="00241B97"/>
    <w:rsid w:val="002425D1"/>
    <w:rsid w:val="00246756"/>
    <w:rsid w:val="00251E58"/>
    <w:rsid w:val="00254605"/>
    <w:rsid w:val="00266D86"/>
    <w:rsid w:val="002728B4"/>
    <w:rsid w:val="0027600C"/>
    <w:rsid w:val="00285B39"/>
    <w:rsid w:val="00292712"/>
    <w:rsid w:val="002A487D"/>
    <w:rsid w:val="002C2E29"/>
    <w:rsid w:val="002C3041"/>
    <w:rsid w:val="002C7283"/>
    <w:rsid w:val="002D1EE3"/>
    <w:rsid w:val="002F1D80"/>
    <w:rsid w:val="002F6EC7"/>
    <w:rsid w:val="003232A2"/>
    <w:rsid w:val="00325C14"/>
    <w:rsid w:val="0034226B"/>
    <w:rsid w:val="00343F95"/>
    <w:rsid w:val="0036422C"/>
    <w:rsid w:val="003710F6"/>
    <w:rsid w:val="00386E88"/>
    <w:rsid w:val="00396585"/>
    <w:rsid w:val="003D0AD2"/>
    <w:rsid w:val="003D6E38"/>
    <w:rsid w:val="003D7430"/>
    <w:rsid w:val="003D74A0"/>
    <w:rsid w:val="003F6E98"/>
    <w:rsid w:val="004033D8"/>
    <w:rsid w:val="004073F0"/>
    <w:rsid w:val="00412A7D"/>
    <w:rsid w:val="00416B4D"/>
    <w:rsid w:val="00417CFC"/>
    <w:rsid w:val="004A06DC"/>
    <w:rsid w:val="004B24ED"/>
    <w:rsid w:val="004B6625"/>
    <w:rsid w:val="004D2D82"/>
    <w:rsid w:val="004D3876"/>
    <w:rsid w:val="004E4552"/>
    <w:rsid w:val="004E6CDF"/>
    <w:rsid w:val="004F1FA1"/>
    <w:rsid w:val="00553C9D"/>
    <w:rsid w:val="00562A66"/>
    <w:rsid w:val="0057483C"/>
    <w:rsid w:val="005819A5"/>
    <w:rsid w:val="005B064E"/>
    <w:rsid w:val="005D51AE"/>
    <w:rsid w:val="005E5806"/>
    <w:rsid w:val="005F49B9"/>
    <w:rsid w:val="006103FF"/>
    <w:rsid w:val="0062674B"/>
    <w:rsid w:val="00633757"/>
    <w:rsid w:val="006363B2"/>
    <w:rsid w:val="00644940"/>
    <w:rsid w:val="006818A9"/>
    <w:rsid w:val="006A2D81"/>
    <w:rsid w:val="006C1D0D"/>
    <w:rsid w:val="006E0C56"/>
    <w:rsid w:val="0070601E"/>
    <w:rsid w:val="00710F8E"/>
    <w:rsid w:val="00712C72"/>
    <w:rsid w:val="00735FE9"/>
    <w:rsid w:val="00760EB6"/>
    <w:rsid w:val="007612E9"/>
    <w:rsid w:val="00763CAA"/>
    <w:rsid w:val="00765F66"/>
    <w:rsid w:val="0078664F"/>
    <w:rsid w:val="007A27CE"/>
    <w:rsid w:val="007B018B"/>
    <w:rsid w:val="007C3FA6"/>
    <w:rsid w:val="007D585A"/>
    <w:rsid w:val="007D5A12"/>
    <w:rsid w:val="007E38A4"/>
    <w:rsid w:val="007E59F9"/>
    <w:rsid w:val="00810BCD"/>
    <w:rsid w:val="00812C98"/>
    <w:rsid w:val="00814D92"/>
    <w:rsid w:val="0083181D"/>
    <w:rsid w:val="00843EB2"/>
    <w:rsid w:val="00865572"/>
    <w:rsid w:val="008716CE"/>
    <w:rsid w:val="00874BBC"/>
    <w:rsid w:val="00892135"/>
    <w:rsid w:val="00895449"/>
    <w:rsid w:val="00897069"/>
    <w:rsid w:val="00897879"/>
    <w:rsid w:val="008A6870"/>
    <w:rsid w:val="008C2DDC"/>
    <w:rsid w:val="008C7516"/>
    <w:rsid w:val="008E6EC7"/>
    <w:rsid w:val="008F0D63"/>
    <w:rsid w:val="008F1308"/>
    <w:rsid w:val="008F2C35"/>
    <w:rsid w:val="008F3A22"/>
    <w:rsid w:val="008F6665"/>
    <w:rsid w:val="00904591"/>
    <w:rsid w:val="00905E5F"/>
    <w:rsid w:val="0091204F"/>
    <w:rsid w:val="009203DB"/>
    <w:rsid w:val="00923CD4"/>
    <w:rsid w:val="00930EFE"/>
    <w:rsid w:val="00943386"/>
    <w:rsid w:val="009456B6"/>
    <w:rsid w:val="00951200"/>
    <w:rsid w:val="00957589"/>
    <w:rsid w:val="00966D06"/>
    <w:rsid w:val="00970855"/>
    <w:rsid w:val="00982412"/>
    <w:rsid w:val="00983A8D"/>
    <w:rsid w:val="009A0DB8"/>
    <w:rsid w:val="009A4832"/>
    <w:rsid w:val="009A7257"/>
    <w:rsid w:val="009D4EFC"/>
    <w:rsid w:val="009D6E0A"/>
    <w:rsid w:val="009E1E33"/>
    <w:rsid w:val="00A02A9C"/>
    <w:rsid w:val="00A1074F"/>
    <w:rsid w:val="00A14672"/>
    <w:rsid w:val="00A15DF1"/>
    <w:rsid w:val="00A26BD6"/>
    <w:rsid w:val="00A443CF"/>
    <w:rsid w:val="00A5211A"/>
    <w:rsid w:val="00A6611D"/>
    <w:rsid w:val="00A738FE"/>
    <w:rsid w:val="00A75DB2"/>
    <w:rsid w:val="00A82CB7"/>
    <w:rsid w:val="00A942C1"/>
    <w:rsid w:val="00A9576B"/>
    <w:rsid w:val="00AA2F03"/>
    <w:rsid w:val="00AB6F48"/>
    <w:rsid w:val="00AC36F7"/>
    <w:rsid w:val="00AC53C6"/>
    <w:rsid w:val="00AC63A4"/>
    <w:rsid w:val="00AD239E"/>
    <w:rsid w:val="00B10265"/>
    <w:rsid w:val="00B16A99"/>
    <w:rsid w:val="00B21211"/>
    <w:rsid w:val="00B35784"/>
    <w:rsid w:val="00B733A7"/>
    <w:rsid w:val="00B75C91"/>
    <w:rsid w:val="00B975AD"/>
    <w:rsid w:val="00BC45FB"/>
    <w:rsid w:val="00BF148D"/>
    <w:rsid w:val="00C021A4"/>
    <w:rsid w:val="00C15D30"/>
    <w:rsid w:val="00C224B1"/>
    <w:rsid w:val="00C23B1A"/>
    <w:rsid w:val="00C310EB"/>
    <w:rsid w:val="00C400EA"/>
    <w:rsid w:val="00C81F67"/>
    <w:rsid w:val="00C9176A"/>
    <w:rsid w:val="00CF1AA2"/>
    <w:rsid w:val="00D142D3"/>
    <w:rsid w:val="00D17774"/>
    <w:rsid w:val="00D31739"/>
    <w:rsid w:val="00D51186"/>
    <w:rsid w:val="00D63620"/>
    <w:rsid w:val="00D6593B"/>
    <w:rsid w:val="00D8410D"/>
    <w:rsid w:val="00D867D7"/>
    <w:rsid w:val="00DB7060"/>
    <w:rsid w:val="00DE3153"/>
    <w:rsid w:val="00E06736"/>
    <w:rsid w:val="00E13C27"/>
    <w:rsid w:val="00E30DB7"/>
    <w:rsid w:val="00E33BBD"/>
    <w:rsid w:val="00E374F2"/>
    <w:rsid w:val="00E45103"/>
    <w:rsid w:val="00E55A60"/>
    <w:rsid w:val="00E62778"/>
    <w:rsid w:val="00E62BAA"/>
    <w:rsid w:val="00E635A2"/>
    <w:rsid w:val="00E63D38"/>
    <w:rsid w:val="00E665B9"/>
    <w:rsid w:val="00E73B91"/>
    <w:rsid w:val="00EA01E6"/>
    <w:rsid w:val="00EA3DE8"/>
    <w:rsid w:val="00EA758F"/>
    <w:rsid w:val="00ED4A6F"/>
    <w:rsid w:val="00EF3A3A"/>
    <w:rsid w:val="00F11629"/>
    <w:rsid w:val="00F42D29"/>
    <w:rsid w:val="00F52E77"/>
    <w:rsid w:val="00F628D6"/>
    <w:rsid w:val="00F67051"/>
    <w:rsid w:val="00F713AA"/>
    <w:rsid w:val="00F86A1E"/>
    <w:rsid w:val="00FA5E88"/>
    <w:rsid w:val="00FD3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C286B9D1-51AE-404C-A82C-AD1C42F1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paragraph" w:styleId="ad">
    <w:name w:val="List Paragraph"/>
    <w:basedOn w:val="a"/>
    <w:uiPriority w:val="34"/>
    <w:qFormat/>
    <w:rsid w:val="00C15D30"/>
    <w:pPr>
      <w:ind w:left="720"/>
      <w:contextualSpacing/>
    </w:pPr>
  </w:style>
  <w:style w:type="character" w:styleId="ae">
    <w:name w:val="annotation reference"/>
    <w:basedOn w:val="a0"/>
    <w:semiHidden/>
    <w:unhideWhenUsed/>
    <w:rsid w:val="005F49B9"/>
    <w:rPr>
      <w:sz w:val="16"/>
      <w:szCs w:val="16"/>
    </w:rPr>
  </w:style>
  <w:style w:type="paragraph" w:styleId="af">
    <w:name w:val="annotation text"/>
    <w:basedOn w:val="a"/>
    <w:link w:val="af0"/>
    <w:semiHidden/>
    <w:unhideWhenUsed/>
    <w:rsid w:val="005F49B9"/>
    <w:pPr>
      <w:spacing w:line="240" w:lineRule="auto"/>
    </w:pPr>
    <w:rPr>
      <w:sz w:val="20"/>
      <w:szCs w:val="20"/>
    </w:rPr>
  </w:style>
  <w:style w:type="character" w:customStyle="1" w:styleId="af0">
    <w:name w:val="טקסט הערה תו"/>
    <w:basedOn w:val="a0"/>
    <w:link w:val="af"/>
    <w:semiHidden/>
    <w:rsid w:val="005F49B9"/>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5F49B9"/>
    <w:rPr>
      <w:b/>
      <w:bCs/>
    </w:rPr>
  </w:style>
  <w:style w:type="character" w:customStyle="1" w:styleId="af2">
    <w:name w:val="נושא הערה תו"/>
    <w:basedOn w:val="af0"/>
    <w:link w:val="af1"/>
    <w:semiHidden/>
    <w:rsid w:val="005F49B9"/>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3D6E9C754E1F7C4C891E9EE2E0AF8150" ma:contentTypeVersion="" ma:contentTypeDescription="צור מסמך חדש." ma:contentTypeScope="" ma:versionID="b2c52f23e7867aea476dda019525fa9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ED63B15-6EB2-4936-83A2-AF2928B8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CB60020-F455-4ED5-8B1D-CBF0B95A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4</Pages>
  <Words>883</Words>
  <Characters>5034</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38</cp:revision>
  <cp:lastPrinted>2020-06-11T07:50:00Z</cp:lastPrinted>
  <dcterms:created xsi:type="dcterms:W3CDTF">2015-04-20T09:58:00Z</dcterms:created>
  <dcterms:modified xsi:type="dcterms:W3CDTF">2020-06-11T08:03:00Z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0x0101003D6E9C754E1F7C4C891E9EE2E0AF8150</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2087244</vt:r8>
  </property>
</Properties>
</file>