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2088119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proofErr w:type="spellStart"/>
      <w:r>
        <w:rPr>
          <w:rFonts w:hint="cs"/>
          <w:b/>
          <w:bCs/>
          <w:rtl/>
        </w:rPr>
        <w:t>אנטאנס</w:t>
      </w:r>
      <w:proofErr w:type="spellEnd"/>
      <w:r>
        <w:rPr>
          <w:rFonts w:hint="cs"/>
          <w:b/>
          <w:bCs/>
          <w:rtl/>
        </w:rPr>
        <w:t xml:space="preserve"> </w:t>
      </w:r>
      <w:proofErr w:type="spellStart"/>
      <w:r>
        <w:rPr>
          <w:rFonts w:hint="cs"/>
          <w:b/>
          <w:bCs/>
          <w:rtl/>
        </w:rPr>
        <w:t>שחאדה</w:t>
      </w:r>
      <w:proofErr w:type="spellEnd"/>
      <w:r>
        <w:br/>
      </w:r>
      <w:r>
        <w:rPr>
          <w:rFonts w:hint="cs"/>
          <w:b/>
          <w:bCs/>
          <w:rtl/>
        </w:rPr>
        <w:t xml:space="preserve"> </w:t>
      </w:r>
      <w:r>
        <w:tab/>
      </w:r>
      <w:r>
        <w:tab/>
      </w:r>
      <w:r>
        <w:tab/>
      </w:r>
      <w:r>
        <w:tab/>
      </w:r>
      <w:r>
        <w:rPr>
          <w:rFonts w:hint="cs"/>
          <w:b/>
          <w:bCs/>
          <w:rtl/>
        </w:rPr>
        <w:t xml:space="preserve">סמי אבו </w:t>
      </w:r>
      <w:proofErr w:type="spellStart"/>
      <w:r>
        <w:rPr>
          <w:rFonts w:hint="cs"/>
          <w:b/>
          <w:bCs/>
          <w:rtl/>
        </w:rPr>
        <w:t>שחאדה</w:t>
      </w:r>
      <w:proofErr w:type="spellEnd"/>
      <w:r>
        <w:br/>
      </w:r>
      <w:r>
        <w:rPr>
          <w:rFonts w:hint="cs"/>
          <w:b/>
          <w:bCs/>
          <w:rtl/>
        </w:rPr>
        <w:t xml:space="preserve"> </w:t>
      </w:r>
      <w:r>
        <w:tab/>
      </w:r>
      <w:r>
        <w:tab/>
      </w:r>
      <w:r>
        <w:tab/>
      </w:r>
      <w:r>
        <w:tab/>
      </w:r>
      <w:proofErr w:type="spellStart"/>
      <w:r>
        <w:rPr>
          <w:rFonts w:hint="cs"/>
          <w:b/>
          <w:bCs/>
          <w:rtl/>
        </w:rPr>
        <w:t>היבה</w:t>
      </w:r>
      <w:proofErr w:type="spellEnd"/>
      <w:r>
        <w:rPr>
          <w:rFonts w:hint="cs"/>
          <w:b/>
          <w:bCs/>
          <w:rtl/>
        </w:rPr>
        <w:t xml:space="preserve"> </w:t>
      </w:r>
      <w:proofErr w:type="spellStart"/>
      <w:r>
        <w:rPr>
          <w:rFonts w:hint="cs"/>
          <w:b/>
          <w:bCs/>
          <w:rtl/>
        </w:rPr>
        <w:t>יזבק</w:t>
      </w:r>
      <w:bookmarkEnd w:id="3"/>
      <w:proofErr w:type="spellEnd"/>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FA50865" w:rsidR="00E13C27" w:rsidRPr="00E06736" w:rsidRDefault="00904591" w:rsidP="007C15FF">
      <w:pPr>
        <w:pStyle w:val="David"/>
        <w:spacing w:before="0" w:line="240" w:lineRule="auto"/>
        <w:ind w:left="6424" w:firstLine="56"/>
        <w:rPr>
          <w:rtl/>
        </w:rPr>
      </w:pPr>
      <w:bookmarkStart w:id="4" w:name="Private_Number"/>
      <w:r>
        <w:rPr>
          <w:rFonts w:hint="cs"/>
          <w:rtl/>
        </w:rPr>
        <w:t>פ/1200/23</w:t>
      </w:r>
      <w:bookmarkEnd w:id="4"/>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5" w:name="LGS_Subject"/>
      <w:r>
        <w:rPr>
          <w:rFonts w:hint="cs"/>
          <w:rtl/>
        </w:rPr>
        <w:t xml:space="preserve">הצעת חוק-יסוד: המיעוט הערבי כמיעוט לאומי </w:t>
      </w:r>
      <w:bookmarkEnd w:id="5"/>
    </w:p>
    <w:tbl>
      <w:tblPr>
        <w:bidiVisual/>
        <w:tblW w:w="9641" w:type="dxa"/>
        <w:tblCellMar>
          <w:top w:w="57" w:type="dxa"/>
          <w:left w:w="0" w:type="dxa"/>
          <w:bottom w:w="57" w:type="dxa"/>
          <w:right w:w="0" w:type="dxa"/>
        </w:tblCellMar>
        <w:tblLook w:val="0000" w:firstRow="0" w:lastRow="0" w:firstColumn="0" w:lastColumn="0" w:noHBand="0" w:noVBand="0"/>
      </w:tblPr>
      <w:tblGrid>
        <w:gridCol w:w="1871"/>
        <w:gridCol w:w="624"/>
        <w:gridCol w:w="7146"/>
      </w:tblGrid>
      <w:tr w:rsidR="00A835E1" w14:paraId="07DCBCD8" w14:textId="77777777" w:rsidTr="001244FC">
        <w:trPr>
          <w:cantSplit/>
        </w:trPr>
        <w:tc>
          <w:tcPr>
            <w:tcW w:w="1871" w:type="dxa"/>
            <w:tcBorders>
              <w:top w:val="nil"/>
              <w:left w:val="nil"/>
              <w:bottom w:val="nil"/>
              <w:right w:val="nil"/>
            </w:tcBorders>
          </w:tcPr>
          <w:p w14:paraId="0A3BE1EF" w14:textId="77777777" w:rsidR="00A835E1" w:rsidRPr="006E5624" w:rsidRDefault="00A835E1" w:rsidP="001244FC">
            <w:pPr>
              <w:pStyle w:val="TableSideHeading"/>
              <w:ind w:right="0"/>
            </w:pPr>
            <w:r w:rsidRPr="006E5624">
              <w:rPr>
                <w:rtl/>
              </w:rPr>
              <w:t>הכרה במיעוט הערבי כמיעוט לאומי</w:t>
            </w:r>
          </w:p>
        </w:tc>
        <w:tc>
          <w:tcPr>
            <w:tcW w:w="624" w:type="dxa"/>
            <w:tcBorders>
              <w:top w:val="nil"/>
              <w:left w:val="nil"/>
              <w:bottom w:val="nil"/>
              <w:right w:val="nil"/>
            </w:tcBorders>
          </w:tcPr>
          <w:p w14:paraId="36573131" w14:textId="77777777" w:rsidR="00A835E1" w:rsidRPr="006E5624" w:rsidRDefault="00A835E1" w:rsidP="001244FC">
            <w:pPr>
              <w:pStyle w:val="TableText"/>
              <w:ind w:right="0"/>
              <w:jc w:val="both"/>
            </w:pPr>
            <w:r w:rsidRPr="006E5624">
              <w:rPr>
                <w:rtl/>
              </w:rPr>
              <w:t>1.</w:t>
            </w:r>
          </w:p>
        </w:tc>
        <w:tc>
          <w:tcPr>
            <w:tcW w:w="7146" w:type="dxa"/>
            <w:tcBorders>
              <w:top w:val="nil"/>
              <w:left w:val="nil"/>
              <w:bottom w:val="nil"/>
              <w:right w:val="nil"/>
            </w:tcBorders>
          </w:tcPr>
          <w:p w14:paraId="4A06F473" w14:textId="180A9230" w:rsidR="00A835E1" w:rsidRPr="006E5624" w:rsidRDefault="00A835E1" w:rsidP="001244FC">
            <w:pPr>
              <w:pStyle w:val="TableBlock"/>
            </w:pPr>
            <w:r>
              <w:rPr>
                <w:rtl/>
              </w:rPr>
              <w:t>חוק-יסוד זה, מטרתו</w:t>
            </w:r>
            <w:r w:rsidRPr="006E5624">
              <w:rPr>
                <w:rtl/>
              </w:rPr>
              <w:t xml:space="preserve"> לעגן בחוק יסוד את מעמדו של המיעוט הערבי בישראל כמיעוט לאומי הזכאי לזכויות קולקטיביות ולשוויון אזרחי מלא.  </w:t>
            </w:r>
            <w:r w:rsidRPr="006E5624">
              <w:t xml:space="preserve"> </w:t>
            </w:r>
          </w:p>
        </w:tc>
      </w:tr>
      <w:tr w:rsidR="00A835E1" w14:paraId="49FA978E" w14:textId="77777777" w:rsidTr="001244FC">
        <w:trPr>
          <w:cantSplit/>
        </w:trPr>
        <w:tc>
          <w:tcPr>
            <w:tcW w:w="1871" w:type="dxa"/>
            <w:tcBorders>
              <w:top w:val="nil"/>
              <w:left w:val="nil"/>
              <w:bottom w:val="nil"/>
              <w:right w:val="nil"/>
            </w:tcBorders>
          </w:tcPr>
          <w:p w14:paraId="3A454E83" w14:textId="77777777" w:rsidR="00A835E1" w:rsidRPr="006E5624" w:rsidRDefault="00A835E1" w:rsidP="001244FC">
            <w:pPr>
              <w:pStyle w:val="TableSideHeading"/>
              <w:ind w:right="0"/>
            </w:pPr>
            <w:r w:rsidRPr="006E5624">
              <w:rPr>
                <w:rtl/>
              </w:rPr>
              <w:t>תחולה</w:t>
            </w:r>
          </w:p>
        </w:tc>
        <w:tc>
          <w:tcPr>
            <w:tcW w:w="624" w:type="dxa"/>
            <w:tcBorders>
              <w:top w:val="nil"/>
              <w:left w:val="nil"/>
              <w:bottom w:val="nil"/>
              <w:right w:val="nil"/>
            </w:tcBorders>
          </w:tcPr>
          <w:p w14:paraId="0FE1B93B" w14:textId="77777777" w:rsidR="00A835E1" w:rsidRPr="006E5624" w:rsidRDefault="00A835E1" w:rsidP="001244FC">
            <w:pPr>
              <w:pStyle w:val="TableText"/>
              <w:ind w:right="0"/>
              <w:jc w:val="both"/>
            </w:pPr>
            <w:r w:rsidRPr="006E5624">
              <w:rPr>
                <w:rtl/>
              </w:rPr>
              <w:t>2.</w:t>
            </w:r>
          </w:p>
        </w:tc>
        <w:tc>
          <w:tcPr>
            <w:tcW w:w="7146" w:type="dxa"/>
            <w:tcBorders>
              <w:top w:val="nil"/>
              <w:left w:val="nil"/>
              <w:bottom w:val="nil"/>
              <w:right w:val="nil"/>
            </w:tcBorders>
          </w:tcPr>
          <w:p w14:paraId="618BC467" w14:textId="77777777" w:rsidR="00A835E1" w:rsidRPr="006E5624" w:rsidRDefault="00A835E1" w:rsidP="001244FC">
            <w:pPr>
              <w:pStyle w:val="TableBlock"/>
            </w:pPr>
            <w:r>
              <w:rPr>
                <w:rtl/>
              </w:rPr>
              <w:t>נמנה ע</w:t>
            </w:r>
            <w:r>
              <w:rPr>
                <w:rFonts w:hint="cs"/>
                <w:rtl/>
              </w:rPr>
              <w:t>ם</w:t>
            </w:r>
            <w:r w:rsidRPr="006E5624">
              <w:rPr>
                <w:rtl/>
              </w:rPr>
              <w:t xml:space="preserve"> המיעוט הערבי בישראל כל אזרח ישראלי ששפת האם שלו היא השפה הערבית.</w:t>
            </w:r>
            <w:r w:rsidRPr="006E5624">
              <w:t xml:space="preserve">  </w:t>
            </w:r>
          </w:p>
        </w:tc>
      </w:tr>
      <w:tr w:rsidR="00A835E1" w14:paraId="5E016A19" w14:textId="77777777" w:rsidTr="001244FC">
        <w:trPr>
          <w:cantSplit/>
        </w:trPr>
        <w:tc>
          <w:tcPr>
            <w:tcW w:w="1871" w:type="dxa"/>
            <w:tcBorders>
              <w:top w:val="nil"/>
              <w:left w:val="nil"/>
              <w:bottom w:val="nil"/>
              <w:right w:val="nil"/>
            </w:tcBorders>
          </w:tcPr>
          <w:p w14:paraId="2D951142" w14:textId="77777777" w:rsidR="00A835E1" w:rsidRPr="006E5624" w:rsidRDefault="00A835E1" w:rsidP="001244FC">
            <w:pPr>
              <w:pStyle w:val="TableSideHeading"/>
              <w:ind w:right="0"/>
            </w:pPr>
            <w:r w:rsidRPr="006E5624">
              <w:rPr>
                <w:rtl/>
              </w:rPr>
              <w:t>זכויות יסוד וחירויות בסיסיות</w:t>
            </w:r>
          </w:p>
        </w:tc>
        <w:tc>
          <w:tcPr>
            <w:tcW w:w="624" w:type="dxa"/>
            <w:tcBorders>
              <w:top w:val="nil"/>
              <w:left w:val="nil"/>
              <w:bottom w:val="nil"/>
              <w:right w:val="nil"/>
            </w:tcBorders>
          </w:tcPr>
          <w:p w14:paraId="4AC3CF51" w14:textId="77777777" w:rsidR="00A835E1" w:rsidRPr="006E5624" w:rsidRDefault="00A835E1" w:rsidP="001244FC">
            <w:pPr>
              <w:pStyle w:val="TableText"/>
              <w:ind w:right="0"/>
              <w:jc w:val="both"/>
            </w:pPr>
            <w:r w:rsidRPr="006E5624">
              <w:rPr>
                <w:rtl/>
              </w:rPr>
              <w:t>3.</w:t>
            </w:r>
          </w:p>
        </w:tc>
        <w:tc>
          <w:tcPr>
            <w:tcW w:w="7146" w:type="dxa"/>
            <w:tcBorders>
              <w:top w:val="nil"/>
              <w:left w:val="nil"/>
              <w:bottom w:val="nil"/>
              <w:right w:val="nil"/>
            </w:tcBorders>
          </w:tcPr>
          <w:p w14:paraId="54F5350F" w14:textId="77777777" w:rsidR="00A835E1" w:rsidRPr="006E5624" w:rsidRDefault="00A835E1" w:rsidP="001244FC">
            <w:pPr>
              <w:pStyle w:val="TableBlock"/>
            </w:pPr>
            <w:r w:rsidRPr="006E5624">
              <w:rPr>
                <w:rtl/>
              </w:rPr>
              <w:t>זכויות היסוד והחירויות הבסיסיות של בני המיעוט הערבי מושתתות על ההכרה בערך האדם, בקדושת חייו, בכבודו ובהיותו בן חורין, והן יכובדו ברוח עקרונות ה</w:t>
            </w:r>
            <w:r>
              <w:rPr>
                <w:rtl/>
              </w:rPr>
              <w:t>צדק הטבעי וכללי המשפט הבינלאומי</w:t>
            </w:r>
            <w:r>
              <w:rPr>
                <w:rFonts w:hint="cs"/>
                <w:rtl/>
              </w:rPr>
              <w:t>,</w:t>
            </w:r>
            <w:r w:rsidRPr="006E5624">
              <w:rPr>
                <w:rtl/>
              </w:rPr>
              <w:t xml:space="preserve"> והכל תוך הדגשת היותם של אזרחי המדינה הערבים ילידים.</w:t>
            </w:r>
            <w:r w:rsidRPr="006E5624">
              <w:t xml:space="preserve">  </w:t>
            </w:r>
          </w:p>
        </w:tc>
      </w:tr>
      <w:tr w:rsidR="00A835E1" w14:paraId="3F944DF8" w14:textId="77777777" w:rsidTr="001244FC">
        <w:trPr>
          <w:cantSplit/>
        </w:trPr>
        <w:tc>
          <w:tcPr>
            <w:tcW w:w="1871" w:type="dxa"/>
            <w:tcBorders>
              <w:top w:val="nil"/>
              <w:left w:val="nil"/>
              <w:bottom w:val="nil"/>
              <w:right w:val="nil"/>
            </w:tcBorders>
          </w:tcPr>
          <w:p w14:paraId="77501F44" w14:textId="77777777" w:rsidR="00A835E1" w:rsidRPr="006E5624" w:rsidRDefault="00A835E1" w:rsidP="001244FC">
            <w:pPr>
              <w:pStyle w:val="TableSideHeading"/>
              <w:ind w:right="0"/>
            </w:pPr>
            <w:r w:rsidRPr="006E5624">
              <w:rPr>
                <w:rtl/>
              </w:rPr>
              <w:t>הזכות לשוויון</w:t>
            </w:r>
          </w:p>
        </w:tc>
        <w:tc>
          <w:tcPr>
            <w:tcW w:w="624" w:type="dxa"/>
            <w:tcBorders>
              <w:top w:val="nil"/>
              <w:left w:val="nil"/>
              <w:bottom w:val="nil"/>
              <w:right w:val="nil"/>
            </w:tcBorders>
          </w:tcPr>
          <w:p w14:paraId="57CC59E7" w14:textId="77777777" w:rsidR="00A835E1" w:rsidRPr="006E5624" w:rsidRDefault="00A835E1" w:rsidP="001244FC">
            <w:pPr>
              <w:pStyle w:val="TableText"/>
              <w:ind w:right="0"/>
              <w:jc w:val="both"/>
            </w:pPr>
            <w:r w:rsidRPr="006E5624">
              <w:rPr>
                <w:rtl/>
              </w:rPr>
              <w:t>4.</w:t>
            </w:r>
          </w:p>
        </w:tc>
        <w:tc>
          <w:tcPr>
            <w:tcW w:w="7146" w:type="dxa"/>
            <w:tcBorders>
              <w:top w:val="nil"/>
              <w:left w:val="nil"/>
              <w:bottom w:val="nil"/>
              <w:right w:val="nil"/>
            </w:tcBorders>
          </w:tcPr>
          <w:p w14:paraId="55A1E9D4" w14:textId="77777777" w:rsidR="00A835E1" w:rsidRPr="006E5624" w:rsidRDefault="00A835E1" w:rsidP="001244FC">
            <w:pPr>
              <w:pStyle w:val="TableBlock"/>
            </w:pPr>
            <w:r>
              <w:rPr>
                <w:rFonts w:hint="cs"/>
                <w:rtl/>
              </w:rPr>
              <w:t>(א)</w:t>
            </w:r>
            <w:r>
              <w:rPr>
                <w:rtl/>
              </w:rPr>
              <w:tab/>
            </w:r>
            <w:r w:rsidRPr="006E5624">
              <w:rPr>
                <w:rtl/>
              </w:rPr>
              <w:t>אזרחי המדינה הערבים זכאים לשווי</w:t>
            </w:r>
            <w:r>
              <w:rPr>
                <w:rtl/>
              </w:rPr>
              <w:t>ון אזרחי מלא</w:t>
            </w:r>
            <w:r w:rsidRPr="006E5624">
              <w:rPr>
                <w:rtl/>
              </w:rPr>
              <w:t xml:space="preserve"> ולשוויון הזדמנויות מלא; אין להפלות אדם בשל היותו ערבי.</w:t>
            </w:r>
            <w:r w:rsidRPr="006E5624">
              <w:t xml:space="preserve"> </w:t>
            </w:r>
          </w:p>
        </w:tc>
      </w:tr>
      <w:tr w:rsidR="00A835E1" w14:paraId="1F5E644F" w14:textId="77777777" w:rsidTr="001244FC">
        <w:trPr>
          <w:cantSplit/>
        </w:trPr>
        <w:tc>
          <w:tcPr>
            <w:tcW w:w="1871" w:type="dxa"/>
            <w:tcBorders>
              <w:top w:val="nil"/>
              <w:left w:val="nil"/>
              <w:bottom w:val="nil"/>
              <w:right w:val="nil"/>
            </w:tcBorders>
          </w:tcPr>
          <w:p w14:paraId="378008C6" w14:textId="77777777" w:rsidR="00A835E1" w:rsidRPr="006E5624" w:rsidRDefault="00A835E1" w:rsidP="001244FC">
            <w:pPr>
              <w:pStyle w:val="TableSideHeading"/>
              <w:ind w:right="0"/>
              <w:rPr>
                <w:rtl/>
              </w:rPr>
            </w:pPr>
          </w:p>
        </w:tc>
        <w:tc>
          <w:tcPr>
            <w:tcW w:w="624" w:type="dxa"/>
            <w:tcBorders>
              <w:top w:val="nil"/>
              <w:left w:val="nil"/>
              <w:bottom w:val="nil"/>
              <w:right w:val="nil"/>
            </w:tcBorders>
          </w:tcPr>
          <w:p w14:paraId="45DD5A10" w14:textId="77777777" w:rsidR="00A835E1" w:rsidRPr="006E5624" w:rsidRDefault="00A835E1" w:rsidP="001244FC">
            <w:pPr>
              <w:pStyle w:val="TableText"/>
              <w:rPr>
                <w:rtl/>
              </w:rPr>
            </w:pPr>
          </w:p>
        </w:tc>
        <w:tc>
          <w:tcPr>
            <w:tcW w:w="7146" w:type="dxa"/>
            <w:tcBorders>
              <w:top w:val="nil"/>
              <w:left w:val="nil"/>
              <w:bottom w:val="nil"/>
              <w:right w:val="nil"/>
            </w:tcBorders>
          </w:tcPr>
          <w:p w14:paraId="57D4F240" w14:textId="77777777" w:rsidR="00A835E1" w:rsidRDefault="00A835E1" w:rsidP="001244FC">
            <w:pPr>
              <w:pStyle w:val="TableBlock"/>
              <w:rPr>
                <w:rtl/>
              </w:rPr>
            </w:pPr>
            <w:r>
              <w:rPr>
                <w:rFonts w:hint="cs"/>
                <w:rtl/>
              </w:rPr>
              <w:t>(ב)</w:t>
            </w:r>
            <w:r>
              <w:rPr>
                <w:rtl/>
              </w:rPr>
              <w:tab/>
              <w:t>כל דין, מדיניות וכל ת</w:t>
            </w:r>
            <w:r w:rsidRPr="006E5624">
              <w:rPr>
                <w:rtl/>
              </w:rPr>
              <w:t xml:space="preserve">כנית ממשלתית או פרטית המיטיבים עם בני המיעוט הערבי בשל </w:t>
            </w:r>
            <w:r>
              <w:rPr>
                <w:rtl/>
              </w:rPr>
              <w:t xml:space="preserve">קיפוחו בהווה או בעבר אינם בגדר </w:t>
            </w:r>
            <w:r>
              <w:rPr>
                <w:rFonts w:hint="cs"/>
                <w:rtl/>
              </w:rPr>
              <w:t>ה</w:t>
            </w:r>
            <w:r w:rsidRPr="006E5624">
              <w:rPr>
                <w:rtl/>
              </w:rPr>
              <w:t xml:space="preserve">פליה. </w:t>
            </w:r>
            <w:r w:rsidRPr="006E5624">
              <w:t xml:space="preserve"> </w:t>
            </w:r>
          </w:p>
        </w:tc>
      </w:tr>
      <w:tr w:rsidR="00A835E1" w14:paraId="78AA7EDA" w14:textId="77777777" w:rsidTr="001244FC">
        <w:trPr>
          <w:cantSplit/>
        </w:trPr>
        <w:tc>
          <w:tcPr>
            <w:tcW w:w="1871" w:type="dxa"/>
            <w:tcBorders>
              <w:top w:val="nil"/>
              <w:left w:val="nil"/>
              <w:bottom w:val="nil"/>
              <w:right w:val="nil"/>
            </w:tcBorders>
          </w:tcPr>
          <w:p w14:paraId="033AE320" w14:textId="77777777" w:rsidR="00A835E1" w:rsidRPr="006E5624" w:rsidRDefault="00A835E1" w:rsidP="001244FC">
            <w:pPr>
              <w:pStyle w:val="TableSideHeading"/>
              <w:ind w:right="0"/>
            </w:pPr>
            <w:r w:rsidRPr="006E5624">
              <w:rPr>
                <w:rtl/>
              </w:rPr>
              <w:t>ייצוג הולם</w:t>
            </w:r>
          </w:p>
        </w:tc>
        <w:tc>
          <w:tcPr>
            <w:tcW w:w="624" w:type="dxa"/>
            <w:tcBorders>
              <w:top w:val="nil"/>
              <w:left w:val="nil"/>
              <w:bottom w:val="nil"/>
              <w:right w:val="nil"/>
            </w:tcBorders>
          </w:tcPr>
          <w:p w14:paraId="0527ED7D" w14:textId="77777777" w:rsidR="00A835E1" w:rsidRPr="006E5624" w:rsidRDefault="00A835E1" w:rsidP="001244FC">
            <w:pPr>
              <w:pStyle w:val="TableText"/>
              <w:ind w:right="0"/>
              <w:jc w:val="both"/>
            </w:pPr>
            <w:r w:rsidRPr="006E5624">
              <w:rPr>
                <w:rtl/>
              </w:rPr>
              <w:t>5.</w:t>
            </w:r>
          </w:p>
        </w:tc>
        <w:tc>
          <w:tcPr>
            <w:tcW w:w="7146" w:type="dxa"/>
            <w:tcBorders>
              <w:top w:val="nil"/>
              <w:left w:val="nil"/>
              <w:bottom w:val="nil"/>
              <w:right w:val="nil"/>
            </w:tcBorders>
          </w:tcPr>
          <w:p w14:paraId="67CE83FD" w14:textId="77777777" w:rsidR="00A835E1" w:rsidRPr="006E5624" w:rsidRDefault="00A835E1" w:rsidP="001244FC">
            <w:pPr>
              <w:pStyle w:val="TableBlock"/>
            </w:pPr>
            <w:r w:rsidRPr="006E5624">
              <w:rPr>
                <w:rtl/>
              </w:rPr>
              <w:t>בני המיעוט הערבי זכאים לייצוג הולם בכל מוסדות המדינה.</w:t>
            </w:r>
            <w:r w:rsidRPr="006E5624">
              <w:t xml:space="preserve">  </w:t>
            </w:r>
          </w:p>
        </w:tc>
      </w:tr>
      <w:tr w:rsidR="00A835E1" w14:paraId="0EB06C4F" w14:textId="77777777" w:rsidTr="001244FC">
        <w:trPr>
          <w:cantSplit/>
        </w:trPr>
        <w:tc>
          <w:tcPr>
            <w:tcW w:w="1871" w:type="dxa"/>
            <w:tcBorders>
              <w:top w:val="nil"/>
              <w:left w:val="nil"/>
              <w:bottom w:val="nil"/>
              <w:right w:val="nil"/>
            </w:tcBorders>
          </w:tcPr>
          <w:p w14:paraId="3FD16F13" w14:textId="77777777" w:rsidR="00A835E1" w:rsidRPr="006E5624" w:rsidRDefault="00A835E1" w:rsidP="001244FC">
            <w:pPr>
              <w:pStyle w:val="TableSideHeading"/>
              <w:ind w:right="0"/>
            </w:pPr>
            <w:r w:rsidRPr="006E5624">
              <w:rPr>
                <w:rtl/>
              </w:rPr>
              <w:t>התרבות הערבית</w:t>
            </w:r>
          </w:p>
        </w:tc>
        <w:tc>
          <w:tcPr>
            <w:tcW w:w="624" w:type="dxa"/>
            <w:tcBorders>
              <w:top w:val="nil"/>
              <w:left w:val="nil"/>
              <w:bottom w:val="nil"/>
              <w:right w:val="nil"/>
            </w:tcBorders>
          </w:tcPr>
          <w:p w14:paraId="609F0BBC" w14:textId="77777777" w:rsidR="00A835E1" w:rsidRPr="006E5624" w:rsidRDefault="00A835E1" w:rsidP="001244FC">
            <w:pPr>
              <w:pStyle w:val="TableText"/>
              <w:ind w:right="0"/>
              <w:jc w:val="both"/>
            </w:pPr>
            <w:r w:rsidRPr="006E5624">
              <w:rPr>
                <w:rtl/>
              </w:rPr>
              <w:t>6.</w:t>
            </w:r>
          </w:p>
        </w:tc>
        <w:tc>
          <w:tcPr>
            <w:tcW w:w="7146" w:type="dxa"/>
            <w:tcBorders>
              <w:top w:val="nil"/>
              <w:left w:val="nil"/>
              <w:bottom w:val="nil"/>
              <w:right w:val="nil"/>
            </w:tcBorders>
          </w:tcPr>
          <w:p w14:paraId="50921159" w14:textId="77777777" w:rsidR="00A835E1" w:rsidRPr="006E5624" w:rsidRDefault="00A835E1" w:rsidP="001244FC">
            <w:pPr>
              <w:pStyle w:val="TableBlock"/>
            </w:pPr>
            <w:r w:rsidRPr="006E5624">
              <w:rPr>
                <w:rtl/>
              </w:rPr>
              <w:t>בני המיעוט הלאומי הערבי זכאים לטפח ולפתח את תרבותם, מסורתם ומנהגיהם באופן חופשי וללא התערבות מצד רשויות המדינה.</w:t>
            </w:r>
            <w:r w:rsidRPr="006E5624">
              <w:t xml:space="preserve">  </w:t>
            </w:r>
          </w:p>
        </w:tc>
      </w:tr>
      <w:tr w:rsidR="00A835E1" w14:paraId="2A37044F" w14:textId="77777777" w:rsidTr="001244FC">
        <w:trPr>
          <w:cantSplit/>
        </w:trPr>
        <w:tc>
          <w:tcPr>
            <w:tcW w:w="1871" w:type="dxa"/>
            <w:tcBorders>
              <w:top w:val="nil"/>
              <w:left w:val="nil"/>
              <w:bottom w:val="nil"/>
              <w:right w:val="nil"/>
            </w:tcBorders>
          </w:tcPr>
          <w:p w14:paraId="2137D889" w14:textId="77777777" w:rsidR="00A835E1" w:rsidRPr="006E5624" w:rsidRDefault="00A835E1" w:rsidP="001244FC">
            <w:pPr>
              <w:pStyle w:val="TableSideHeading"/>
              <w:ind w:right="0"/>
            </w:pPr>
            <w:r w:rsidRPr="006E5624">
              <w:rPr>
                <w:rtl/>
              </w:rPr>
              <w:t>מוסדות לאומיים</w:t>
            </w:r>
          </w:p>
        </w:tc>
        <w:tc>
          <w:tcPr>
            <w:tcW w:w="624" w:type="dxa"/>
            <w:tcBorders>
              <w:top w:val="nil"/>
              <w:left w:val="nil"/>
              <w:bottom w:val="nil"/>
              <w:right w:val="nil"/>
            </w:tcBorders>
          </w:tcPr>
          <w:p w14:paraId="767ABE55" w14:textId="77777777" w:rsidR="00A835E1" w:rsidRPr="006E5624" w:rsidRDefault="00A835E1" w:rsidP="001244FC">
            <w:pPr>
              <w:pStyle w:val="TableText"/>
              <w:ind w:right="0"/>
              <w:jc w:val="both"/>
            </w:pPr>
            <w:r w:rsidRPr="006E5624">
              <w:rPr>
                <w:rtl/>
              </w:rPr>
              <w:t>7.</w:t>
            </w:r>
          </w:p>
        </w:tc>
        <w:tc>
          <w:tcPr>
            <w:tcW w:w="7146" w:type="dxa"/>
            <w:tcBorders>
              <w:top w:val="nil"/>
              <w:left w:val="nil"/>
              <w:bottom w:val="nil"/>
              <w:right w:val="nil"/>
            </w:tcBorders>
          </w:tcPr>
          <w:p w14:paraId="5DE4B66B" w14:textId="77777777" w:rsidR="00A835E1" w:rsidRPr="006E5624" w:rsidRDefault="00A835E1" w:rsidP="001244FC">
            <w:pPr>
              <w:pStyle w:val="TableBlock"/>
            </w:pPr>
            <w:r w:rsidRPr="006E5624">
              <w:rPr>
                <w:rtl/>
              </w:rPr>
              <w:t>בני המיעוט הלאומי הערבי זכאים להקים ולייסד מוסדות ייצוגיים בכל תחום שמייחד אותם כמיעוט לאומי.</w:t>
            </w:r>
            <w:r w:rsidRPr="006E5624">
              <w:t xml:space="preserve">  </w:t>
            </w:r>
          </w:p>
        </w:tc>
      </w:tr>
      <w:tr w:rsidR="00A835E1" w14:paraId="786D7EFE" w14:textId="77777777" w:rsidTr="001244FC">
        <w:trPr>
          <w:cantSplit/>
        </w:trPr>
        <w:tc>
          <w:tcPr>
            <w:tcW w:w="1871" w:type="dxa"/>
            <w:tcBorders>
              <w:top w:val="nil"/>
              <w:left w:val="nil"/>
              <w:bottom w:val="nil"/>
              <w:right w:val="nil"/>
            </w:tcBorders>
          </w:tcPr>
          <w:p w14:paraId="1BAD1195" w14:textId="77777777" w:rsidR="00A835E1" w:rsidRPr="006E5624" w:rsidRDefault="00A835E1" w:rsidP="001244FC">
            <w:pPr>
              <w:pStyle w:val="TableSideHeading"/>
              <w:ind w:right="0"/>
            </w:pPr>
            <w:r w:rsidRPr="006E5624">
              <w:rPr>
                <w:rtl/>
              </w:rPr>
              <w:t>השפה הערבית</w:t>
            </w:r>
          </w:p>
        </w:tc>
        <w:tc>
          <w:tcPr>
            <w:tcW w:w="624" w:type="dxa"/>
            <w:tcBorders>
              <w:top w:val="nil"/>
              <w:left w:val="nil"/>
              <w:bottom w:val="nil"/>
              <w:right w:val="nil"/>
            </w:tcBorders>
          </w:tcPr>
          <w:p w14:paraId="59885486" w14:textId="77777777" w:rsidR="00A835E1" w:rsidRPr="006E5624" w:rsidRDefault="00A835E1" w:rsidP="001244FC">
            <w:pPr>
              <w:pStyle w:val="TableText"/>
              <w:ind w:right="0"/>
              <w:jc w:val="both"/>
            </w:pPr>
            <w:r w:rsidRPr="006E5624">
              <w:rPr>
                <w:rtl/>
              </w:rPr>
              <w:t>8.</w:t>
            </w:r>
          </w:p>
        </w:tc>
        <w:tc>
          <w:tcPr>
            <w:tcW w:w="7146" w:type="dxa"/>
            <w:tcBorders>
              <w:top w:val="nil"/>
              <w:left w:val="nil"/>
              <w:bottom w:val="nil"/>
              <w:right w:val="nil"/>
            </w:tcBorders>
          </w:tcPr>
          <w:p w14:paraId="5E1F78E3" w14:textId="77777777" w:rsidR="00A835E1" w:rsidRPr="006E5624" w:rsidRDefault="00A835E1" w:rsidP="001244FC">
            <w:pPr>
              <w:pStyle w:val="TableBlock"/>
            </w:pPr>
            <w:r w:rsidRPr="006E5624">
              <w:rPr>
                <w:rFonts w:hint="cs"/>
                <w:rtl/>
              </w:rPr>
              <w:t>(א)</w:t>
            </w:r>
            <w:r w:rsidRPr="006E5624">
              <w:rPr>
                <w:rtl/>
              </w:rPr>
              <w:tab/>
              <w:t xml:space="preserve">השפה הערבית, שפתו הלאומית של המיעוט הערבי, היא </w:t>
            </w:r>
            <w:r>
              <w:rPr>
                <w:rFonts w:hint="cs"/>
                <w:rtl/>
              </w:rPr>
              <w:t>ה</w:t>
            </w:r>
            <w:r w:rsidRPr="006E5624">
              <w:rPr>
                <w:rtl/>
              </w:rPr>
              <w:t xml:space="preserve">שפה </w:t>
            </w:r>
            <w:r>
              <w:rPr>
                <w:rFonts w:hint="cs"/>
                <w:rtl/>
              </w:rPr>
              <w:t>ה</w:t>
            </w:r>
            <w:r w:rsidRPr="006E5624">
              <w:rPr>
                <w:rtl/>
              </w:rPr>
              <w:t>רשמית השנ</w:t>
            </w:r>
            <w:r>
              <w:rPr>
                <w:rFonts w:hint="cs"/>
                <w:rtl/>
              </w:rPr>
              <w:t>י</w:t>
            </w:r>
            <w:r w:rsidRPr="006E5624">
              <w:rPr>
                <w:rtl/>
              </w:rPr>
              <w:t>יה במדינת ישראל.</w:t>
            </w:r>
          </w:p>
        </w:tc>
      </w:tr>
      <w:tr w:rsidR="00A835E1" w14:paraId="1A79B11D" w14:textId="77777777" w:rsidTr="001244FC">
        <w:trPr>
          <w:cantSplit/>
        </w:trPr>
        <w:tc>
          <w:tcPr>
            <w:tcW w:w="1871" w:type="dxa"/>
            <w:tcBorders>
              <w:top w:val="nil"/>
              <w:left w:val="nil"/>
              <w:bottom w:val="nil"/>
              <w:right w:val="nil"/>
            </w:tcBorders>
          </w:tcPr>
          <w:p w14:paraId="1BADD102" w14:textId="77777777" w:rsidR="00A835E1" w:rsidRPr="006E5624" w:rsidRDefault="00A835E1" w:rsidP="001244FC">
            <w:pPr>
              <w:pStyle w:val="TableSideHeading"/>
              <w:ind w:right="0"/>
              <w:rPr>
                <w:rtl/>
              </w:rPr>
            </w:pPr>
          </w:p>
        </w:tc>
        <w:tc>
          <w:tcPr>
            <w:tcW w:w="624" w:type="dxa"/>
            <w:tcBorders>
              <w:top w:val="nil"/>
              <w:left w:val="nil"/>
              <w:bottom w:val="nil"/>
              <w:right w:val="nil"/>
            </w:tcBorders>
          </w:tcPr>
          <w:p w14:paraId="76380194" w14:textId="77777777" w:rsidR="00A835E1" w:rsidRDefault="00A835E1" w:rsidP="001244FC">
            <w:pPr>
              <w:pStyle w:val="TableText"/>
              <w:rPr>
                <w:rtl/>
              </w:rPr>
            </w:pPr>
          </w:p>
        </w:tc>
        <w:tc>
          <w:tcPr>
            <w:tcW w:w="7146" w:type="dxa"/>
            <w:tcBorders>
              <w:top w:val="nil"/>
              <w:left w:val="nil"/>
              <w:bottom w:val="nil"/>
              <w:right w:val="nil"/>
            </w:tcBorders>
          </w:tcPr>
          <w:p w14:paraId="5DA19262" w14:textId="77777777" w:rsidR="00A835E1" w:rsidRPr="006E5624" w:rsidRDefault="00A835E1" w:rsidP="001244FC">
            <w:pPr>
              <w:pStyle w:val="TableBlock"/>
              <w:rPr>
                <w:rtl/>
              </w:rPr>
            </w:pPr>
            <w:r w:rsidRPr="006E5624">
              <w:rPr>
                <w:rFonts w:hint="cs"/>
                <w:rtl/>
              </w:rPr>
              <w:t>(ב)</w:t>
            </w:r>
            <w:r w:rsidRPr="006E5624">
              <w:rPr>
                <w:rtl/>
              </w:rPr>
              <w:tab/>
              <w:t>המדינה תנקוט באמצעים הד</w:t>
            </w:r>
            <w:r>
              <w:rPr>
                <w:rtl/>
              </w:rPr>
              <w:t>רושים על מנת לתת לבני המיעוט הל</w:t>
            </w:r>
            <w:r w:rsidRPr="006E5624">
              <w:rPr>
                <w:rtl/>
              </w:rPr>
              <w:t>א</w:t>
            </w:r>
            <w:r>
              <w:rPr>
                <w:rFonts w:hint="cs"/>
                <w:rtl/>
              </w:rPr>
              <w:t>ו</w:t>
            </w:r>
            <w:r w:rsidRPr="006E5624">
              <w:rPr>
                <w:rtl/>
              </w:rPr>
              <w:t>מי הערבי הזדמנויות הולמות ללמוד את שפת האם שלהם.</w:t>
            </w:r>
          </w:p>
        </w:tc>
      </w:tr>
      <w:tr w:rsidR="00A835E1" w14:paraId="27554B13" w14:textId="77777777" w:rsidTr="001244FC">
        <w:trPr>
          <w:cantSplit/>
        </w:trPr>
        <w:tc>
          <w:tcPr>
            <w:tcW w:w="1871" w:type="dxa"/>
            <w:tcBorders>
              <w:top w:val="nil"/>
              <w:left w:val="nil"/>
              <w:bottom w:val="nil"/>
              <w:right w:val="nil"/>
            </w:tcBorders>
          </w:tcPr>
          <w:p w14:paraId="498C7482" w14:textId="77777777" w:rsidR="00A835E1" w:rsidRPr="006E5624" w:rsidRDefault="00A835E1" w:rsidP="001244FC">
            <w:pPr>
              <w:pStyle w:val="TableSideHeading"/>
              <w:ind w:right="0"/>
              <w:rPr>
                <w:rtl/>
              </w:rPr>
            </w:pPr>
          </w:p>
        </w:tc>
        <w:tc>
          <w:tcPr>
            <w:tcW w:w="624" w:type="dxa"/>
            <w:tcBorders>
              <w:top w:val="nil"/>
              <w:left w:val="nil"/>
              <w:bottom w:val="nil"/>
              <w:right w:val="nil"/>
            </w:tcBorders>
          </w:tcPr>
          <w:p w14:paraId="2C5E8A4D" w14:textId="77777777" w:rsidR="00A835E1" w:rsidRDefault="00A835E1" w:rsidP="001244FC">
            <w:pPr>
              <w:pStyle w:val="TableText"/>
              <w:rPr>
                <w:rtl/>
              </w:rPr>
            </w:pPr>
          </w:p>
        </w:tc>
        <w:tc>
          <w:tcPr>
            <w:tcW w:w="7146" w:type="dxa"/>
            <w:tcBorders>
              <w:top w:val="nil"/>
              <w:left w:val="nil"/>
              <w:bottom w:val="nil"/>
              <w:right w:val="nil"/>
            </w:tcBorders>
          </w:tcPr>
          <w:p w14:paraId="41EC751A" w14:textId="77777777" w:rsidR="00A835E1" w:rsidRPr="006E5624" w:rsidRDefault="00A835E1" w:rsidP="001244FC">
            <w:pPr>
              <w:pStyle w:val="TableBlock"/>
              <w:rPr>
                <w:rtl/>
              </w:rPr>
            </w:pPr>
            <w:r w:rsidRPr="006E5624">
              <w:rPr>
                <w:rFonts w:hint="cs"/>
                <w:rtl/>
              </w:rPr>
              <w:t>(ג)</w:t>
            </w:r>
            <w:r w:rsidRPr="006E5624">
              <w:rPr>
                <w:rtl/>
              </w:rPr>
              <w:tab/>
              <w:t>כל הפרסומים הממשלתיים יפורסמו בשפה הערבית.</w:t>
            </w:r>
          </w:p>
        </w:tc>
      </w:tr>
      <w:tr w:rsidR="00A835E1" w14:paraId="49E44E6E" w14:textId="77777777" w:rsidTr="001244FC">
        <w:trPr>
          <w:cantSplit/>
        </w:trPr>
        <w:tc>
          <w:tcPr>
            <w:tcW w:w="1871" w:type="dxa"/>
            <w:tcBorders>
              <w:top w:val="nil"/>
              <w:left w:val="nil"/>
              <w:bottom w:val="nil"/>
              <w:right w:val="nil"/>
            </w:tcBorders>
          </w:tcPr>
          <w:p w14:paraId="0E2DEF92" w14:textId="77777777" w:rsidR="00A835E1" w:rsidRPr="006E5624" w:rsidRDefault="00A835E1" w:rsidP="001244FC">
            <w:pPr>
              <w:pStyle w:val="TableSideHeading"/>
              <w:ind w:right="0"/>
            </w:pPr>
            <w:r w:rsidRPr="006E5624">
              <w:rPr>
                <w:rtl/>
              </w:rPr>
              <w:t>החלטות הנוגעות למיעוט הערבי</w:t>
            </w:r>
          </w:p>
        </w:tc>
        <w:tc>
          <w:tcPr>
            <w:tcW w:w="624" w:type="dxa"/>
            <w:tcBorders>
              <w:top w:val="nil"/>
              <w:left w:val="nil"/>
              <w:bottom w:val="nil"/>
              <w:right w:val="nil"/>
            </w:tcBorders>
          </w:tcPr>
          <w:p w14:paraId="134C7B73" w14:textId="77777777" w:rsidR="00A835E1" w:rsidRPr="006E5624" w:rsidRDefault="00A835E1" w:rsidP="001244FC">
            <w:pPr>
              <w:pStyle w:val="TableText"/>
              <w:ind w:right="0"/>
              <w:jc w:val="both"/>
            </w:pPr>
            <w:r w:rsidRPr="006E5624">
              <w:rPr>
                <w:rtl/>
              </w:rPr>
              <w:t>9.</w:t>
            </w:r>
          </w:p>
        </w:tc>
        <w:tc>
          <w:tcPr>
            <w:tcW w:w="7146" w:type="dxa"/>
            <w:tcBorders>
              <w:top w:val="nil"/>
              <w:left w:val="nil"/>
              <w:bottom w:val="nil"/>
              <w:right w:val="nil"/>
            </w:tcBorders>
          </w:tcPr>
          <w:p w14:paraId="7828A239" w14:textId="77777777" w:rsidR="00A835E1" w:rsidRPr="006E5624" w:rsidRDefault="00A835E1" w:rsidP="001244FC">
            <w:pPr>
              <w:pStyle w:val="TableBlock"/>
            </w:pPr>
            <w:r w:rsidRPr="006E5624">
              <w:rPr>
                <w:rtl/>
              </w:rPr>
              <w:t>לבני המיעוט הלאומי הערבי תינתן הזכות להשתתף באופן פ</w:t>
            </w:r>
            <w:r>
              <w:rPr>
                <w:rtl/>
              </w:rPr>
              <w:t>עיל בקבלת ההחלטות הנוגעות אליהם</w:t>
            </w:r>
            <w:r>
              <w:rPr>
                <w:rFonts w:hint="cs"/>
                <w:rtl/>
              </w:rPr>
              <w:t>;</w:t>
            </w:r>
            <w:r w:rsidRPr="006E5624">
              <w:rPr>
                <w:rtl/>
              </w:rPr>
              <w:t xml:space="preserve"> מוסדות המדינה לא </w:t>
            </w:r>
            <w:r>
              <w:rPr>
                <w:rFonts w:hint="cs"/>
                <w:rtl/>
              </w:rPr>
              <w:t>יקבלו</w:t>
            </w:r>
            <w:r w:rsidRPr="006E5624">
              <w:rPr>
                <w:rtl/>
              </w:rPr>
              <w:t xml:space="preserve"> החלטות בעלות השלכות משמעותיות על חיי האוכלוסייה הערבית ללא שיתוף אפקטי</w:t>
            </w:r>
            <w:r>
              <w:rPr>
                <w:rtl/>
              </w:rPr>
              <w:t>בי של בני המיעוט הערבי ונציגיהם</w:t>
            </w:r>
            <w:r>
              <w:rPr>
                <w:rFonts w:hint="cs"/>
                <w:rtl/>
              </w:rPr>
              <w:t>;</w:t>
            </w:r>
            <w:r w:rsidRPr="006E5624">
              <w:rPr>
                <w:rtl/>
              </w:rPr>
              <w:t xml:space="preserve"> כל החלטה המתקבלת ללא שיתוף אפקטיבי של בני המיעוט הערבי פסולה.</w:t>
            </w:r>
            <w:r w:rsidRPr="006E5624">
              <w:t xml:space="preserve">  </w:t>
            </w:r>
          </w:p>
        </w:tc>
      </w:tr>
      <w:tr w:rsidR="00A835E1" w14:paraId="00D45D6E" w14:textId="77777777" w:rsidTr="001244FC">
        <w:trPr>
          <w:cantSplit/>
        </w:trPr>
        <w:tc>
          <w:tcPr>
            <w:tcW w:w="1871" w:type="dxa"/>
            <w:tcBorders>
              <w:top w:val="nil"/>
              <w:left w:val="nil"/>
              <w:bottom w:val="nil"/>
              <w:right w:val="nil"/>
            </w:tcBorders>
          </w:tcPr>
          <w:p w14:paraId="56A1B730" w14:textId="77777777" w:rsidR="00A835E1" w:rsidRPr="006E5624" w:rsidRDefault="00A835E1" w:rsidP="001244FC">
            <w:pPr>
              <w:pStyle w:val="TableSideHeading"/>
              <w:ind w:right="0"/>
            </w:pPr>
            <w:r w:rsidRPr="006E5624">
              <w:rPr>
                <w:rtl/>
              </w:rPr>
              <w:t>קשרים עם בני לאומם</w:t>
            </w:r>
          </w:p>
        </w:tc>
        <w:tc>
          <w:tcPr>
            <w:tcW w:w="624" w:type="dxa"/>
            <w:tcBorders>
              <w:top w:val="nil"/>
              <w:left w:val="nil"/>
              <w:bottom w:val="nil"/>
              <w:right w:val="nil"/>
            </w:tcBorders>
          </w:tcPr>
          <w:p w14:paraId="14FD957D" w14:textId="77777777" w:rsidR="00A835E1" w:rsidRPr="006E5624" w:rsidRDefault="00A835E1" w:rsidP="001244FC">
            <w:pPr>
              <w:pStyle w:val="TableText"/>
              <w:ind w:right="0"/>
              <w:jc w:val="both"/>
            </w:pPr>
            <w:r w:rsidRPr="006E5624">
              <w:rPr>
                <w:rtl/>
              </w:rPr>
              <w:t>10.</w:t>
            </w:r>
          </w:p>
        </w:tc>
        <w:tc>
          <w:tcPr>
            <w:tcW w:w="7146" w:type="dxa"/>
            <w:tcBorders>
              <w:top w:val="nil"/>
              <w:left w:val="nil"/>
              <w:bottom w:val="nil"/>
              <w:right w:val="nil"/>
            </w:tcBorders>
          </w:tcPr>
          <w:p w14:paraId="5F5CA936" w14:textId="77777777" w:rsidR="00A835E1" w:rsidRPr="006E5624" w:rsidRDefault="00A835E1" w:rsidP="001244FC">
            <w:pPr>
              <w:pStyle w:val="TableBlock"/>
              <w:rPr>
                <w:rtl/>
              </w:rPr>
            </w:pPr>
            <w:r w:rsidRPr="006E5624">
              <w:rPr>
                <w:rtl/>
              </w:rPr>
              <w:t xml:space="preserve">מדינת ישראל מכירה בזיקה המיוחדת של המיעוט הערבי לעם הפלסטיני ולשאר עמי ערב.  </w:t>
            </w:r>
          </w:p>
        </w:tc>
      </w:tr>
      <w:tr w:rsidR="00A835E1" w14:paraId="27C0E09F" w14:textId="77777777" w:rsidTr="001244FC">
        <w:trPr>
          <w:cantSplit/>
        </w:trPr>
        <w:tc>
          <w:tcPr>
            <w:tcW w:w="1871" w:type="dxa"/>
            <w:tcBorders>
              <w:top w:val="nil"/>
              <w:left w:val="nil"/>
              <w:bottom w:val="nil"/>
              <w:right w:val="nil"/>
            </w:tcBorders>
          </w:tcPr>
          <w:p w14:paraId="6E10EC25" w14:textId="77777777" w:rsidR="00A835E1" w:rsidRPr="006E5624" w:rsidRDefault="00A835E1" w:rsidP="001244FC">
            <w:pPr>
              <w:pStyle w:val="TableSideHeading"/>
              <w:ind w:right="0"/>
            </w:pPr>
            <w:r w:rsidRPr="006E5624">
              <w:rPr>
                <w:rtl/>
              </w:rPr>
              <w:t>חובות המדינה</w:t>
            </w:r>
          </w:p>
        </w:tc>
        <w:tc>
          <w:tcPr>
            <w:tcW w:w="624" w:type="dxa"/>
            <w:tcBorders>
              <w:top w:val="nil"/>
              <w:left w:val="nil"/>
              <w:bottom w:val="nil"/>
              <w:right w:val="nil"/>
            </w:tcBorders>
          </w:tcPr>
          <w:p w14:paraId="1A404793" w14:textId="77777777" w:rsidR="00A835E1" w:rsidRPr="006E5624" w:rsidRDefault="00A835E1" w:rsidP="001244FC">
            <w:pPr>
              <w:pStyle w:val="TableText"/>
              <w:ind w:right="0"/>
              <w:jc w:val="both"/>
            </w:pPr>
            <w:r w:rsidRPr="006E5624">
              <w:rPr>
                <w:rtl/>
              </w:rPr>
              <w:t>11.</w:t>
            </w:r>
          </w:p>
        </w:tc>
        <w:tc>
          <w:tcPr>
            <w:tcW w:w="7146" w:type="dxa"/>
            <w:tcBorders>
              <w:top w:val="nil"/>
              <w:left w:val="nil"/>
              <w:bottom w:val="nil"/>
              <w:right w:val="nil"/>
            </w:tcBorders>
          </w:tcPr>
          <w:p w14:paraId="2F068248" w14:textId="77777777" w:rsidR="00A835E1" w:rsidRPr="006E5624" w:rsidRDefault="00A835E1" w:rsidP="001244FC">
            <w:pPr>
              <w:pStyle w:val="TableBlock"/>
            </w:pPr>
            <w:r>
              <w:rPr>
                <w:rFonts w:hint="cs"/>
                <w:rtl/>
              </w:rPr>
              <w:t>(</w:t>
            </w:r>
            <w:r>
              <w:rPr>
                <w:rtl/>
              </w:rPr>
              <w:t>א</w:t>
            </w:r>
            <w:r>
              <w:rPr>
                <w:rFonts w:hint="cs"/>
                <w:rtl/>
              </w:rPr>
              <w:t>)</w:t>
            </w:r>
            <w:r>
              <w:rPr>
                <w:rtl/>
              </w:rPr>
              <w:tab/>
            </w:r>
            <w:r w:rsidRPr="006E5624">
              <w:rPr>
                <w:rtl/>
              </w:rPr>
              <w:t xml:space="preserve">המדינה תנקוט באמצעים הדרושים על מנת לאפשר לאזרחים הערבים להביע את זהותם הערבית, לפתח את תרבותם, </w:t>
            </w:r>
            <w:r>
              <w:rPr>
                <w:rFonts w:hint="cs"/>
                <w:rtl/>
              </w:rPr>
              <w:t xml:space="preserve">את </w:t>
            </w:r>
            <w:r w:rsidRPr="006E5624">
              <w:rPr>
                <w:rtl/>
              </w:rPr>
              <w:t>שפתם ו</w:t>
            </w:r>
            <w:r>
              <w:rPr>
                <w:rFonts w:hint="cs"/>
                <w:rtl/>
              </w:rPr>
              <w:t xml:space="preserve">את </w:t>
            </w:r>
            <w:r w:rsidRPr="006E5624">
              <w:rPr>
                <w:rtl/>
              </w:rPr>
              <w:t xml:space="preserve">מסורתם. </w:t>
            </w:r>
            <w:r w:rsidRPr="006E5624">
              <w:t xml:space="preserve"> </w:t>
            </w:r>
          </w:p>
        </w:tc>
      </w:tr>
      <w:tr w:rsidR="00A835E1" w14:paraId="3D7896CC" w14:textId="77777777" w:rsidTr="001244FC">
        <w:trPr>
          <w:cantSplit/>
        </w:trPr>
        <w:tc>
          <w:tcPr>
            <w:tcW w:w="1871" w:type="dxa"/>
            <w:tcBorders>
              <w:top w:val="nil"/>
              <w:left w:val="nil"/>
              <w:bottom w:val="nil"/>
              <w:right w:val="nil"/>
            </w:tcBorders>
          </w:tcPr>
          <w:p w14:paraId="2D75ECC9" w14:textId="77777777" w:rsidR="00A835E1" w:rsidRPr="006E5624" w:rsidRDefault="00A835E1" w:rsidP="001244FC">
            <w:pPr>
              <w:pStyle w:val="TableSideHeading"/>
              <w:ind w:right="0"/>
            </w:pPr>
          </w:p>
        </w:tc>
        <w:tc>
          <w:tcPr>
            <w:tcW w:w="624" w:type="dxa"/>
            <w:tcBorders>
              <w:top w:val="nil"/>
              <w:left w:val="nil"/>
              <w:bottom w:val="nil"/>
              <w:right w:val="nil"/>
            </w:tcBorders>
          </w:tcPr>
          <w:p w14:paraId="20099744" w14:textId="77777777" w:rsidR="00A835E1" w:rsidRPr="006E5624" w:rsidRDefault="00A835E1" w:rsidP="001244FC">
            <w:pPr>
              <w:pStyle w:val="TableText"/>
              <w:ind w:right="0"/>
              <w:jc w:val="both"/>
            </w:pPr>
          </w:p>
        </w:tc>
        <w:tc>
          <w:tcPr>
            <w:tcW w:w="7146" w:type="dxa"/>
            <w:tcBorders>
              <w:top w:val="nil"/>
              <w:left w:val="nil"/>
              <w:bottom w:val="nil"/>
              <w:right w:val="nil"/>
            </w:tcBorders>
          </w:tcPr>
          <w:p w14:paraId="2AFCC0AE" w14:textId="77777777" w:rsidR="00A835E1" w:rsidRPr="006E5624" w:rsidRDefault="00A835E1" w:rsidP="001244FC">
            <w:pPr>
              <w:pStyle w:val="TableBlock"/>
            </w:pPr>
            <w:r>
              <w:rPr>
                <w:rFonts w:hint="cs"/>
                <w:rtl/>
              </w:rPr>
              <w:t>(</w:t>
            </w:r>
            <w:r>
              <w:rPr>
                <w:rtl/>
              </w:rPr>
              <w:t>ב</w:t>
            </w:r>
            <w:r>
              <w:rPr>
                <w:rFonts w:hint="cs"/>
                <w:rtl/>
              </w:rPr>
              <w:t>)</w:t>
            </w:r>
            <w:r>
              <w:rPr>
                <w:rtl/>
              </w:rPr>
              <w:tab/>
            </w:r>
            <w:r w:rsidRPr="006E5624">
              <w:rPr>
                <w:rtl/>
              </w:rPr>
              <w:t>המדינה תנקוט בצעדים הדרושים בתחום החינוך על מנת לאפשר לבני המיעוט הערבי, ואף לעודדם, לרכוש ידע וללמוד את ההיסטוריה שלהם, את מסורתם ואת תרבותם.</w:t>
            </w:r>
            <w:r w:rsidRPr="006E5624">
              <w:t xml:space="preserve">  </w:t>
            </w:r>
          </w:p>
        </w:tc>
      </w:tr>
      <w:tr w:rsidR="00A835E1" w14:paraId="0CFFF4B9" w14:textId="77777777" w:rsidTr="001244FC">
        <w:trPr>
          <w:cantSplit/>
        </w:trPr>
        <w:tc>
          <w:tcPr>
            <w:tcW w:w="1871" w:type="dxa"/>
            <w:tcBorders>
              <w:top w:val="nil"/>
              <w:left w:val="nil"/>
              <w:bottom w:val="nil"/>
              <w:right w:val="nil"/>
            </w:tcBorders>
          </w:tcPr>
          <w:p w14:paraId="563DE3CE" w14:textId="77777777" w:rsidR="00A835E1" w:rsidRPr="006E5624" w:rsidRDefault="00A835E1" w:rsidP="001244FC">
            <w:pPr>
              <w:pStyle w:val="TableSideHeading"/>
              <w:ind w:right="0"/>
            </w:pPr>
          </w:p>
        </w:tc>
        <w:tc>
          <w:tcPr>
            <w:tcW w:w="624" w:type="dxa"/>
            <w:tcBorders>
              <w:top w:val="nil"/>
              <w:left w:val="nil"/>
              <w:bottom w:val="nil"/>
              <w:right w:val="nil"/>
            </w:tcBorders>
          </w:tcPr>
          <w:p w14:paraId="1F592B8E" w14:textId="77777777" w:rsidR="00A835E1" w:rsidRPr="006E5624" w:rsidRDefault="00A835E1" w:rsidP="001244FC">
            <w:pPr>
              <w:pStyle w:val="TableText"/>
              <w:ind w:right="0"/>
              <w:jc w:val="both"/>
            </w:pPr>
          </w:p>
        </w:tc>
        <w:tc>
          <w:tcPr>
            <w:tcW w:w="7146" w:type="dxa"/>
            <w:tcBorders>
              <w:top w:val="nil"/>
              <w:left w:val="nil"/>
              <w:bottom w:val="nil"/>
              <w:right w:val="nil"/>
            </w:tcBorders>
          </w:tcPr>
          <w:p w14:paraId="3AE8B8A2" w14:textId="77777777" w:rsidR="00A835E1" w:rsidRPr="006E5624" w:rsidRDefault="00A835E1" w:rsidP="001244FC">
            <w:pPr>
              <w:pStyle w:val="TableBlock"/>
            </w:pPr>
            <w:r>
              <w:rPr>
                <w:rFonts w:hint="cs"/>
                <w:rtl/>
              </w:rPr>
              <w:t>(</w:t>
            </w:r>
            <w:r>
              <w:rPr>
                <w:rtl/>
              </w:rPr>
              <w:t>ג</w:t>
            </w:r>
            <w:r>
              <w:rPr>
                <w:rFonts w:hint="cs"/>
                <w:rtl/>
              </w:rPr>
              <w:t>)</w:t>
            </w:r>
            <w:r>
              <w:rPr>
                <w:rtl/>
              </w:rPr>
              <w:tab/>
            </w:r>
            <w:r w:rsidRPr="006E5624">
              <w:rPr>
                <w:rtl/>
              </w:rPr>
              <w:t>על המדינה לנקוט בצעדים הדרושים כ</w:t>
            </w:r>
            <w:r>
              <w:rPr>
                <w:rFonts w:hint="cs"/>
                <w:rtl/>
              </w:rPr>
              <w:t>די</w:t>
            </w:r>
            <w:r w:rsidRPr="006E5624">
              <w:rPr>
                <w:rtl/>
              </w:rPr>
              <w:t xml:space="preserve"> שהאזרחים הערבים יהיו מעורבים באופן מלא בקדמה הכלכלית ובפיתוח של המדינה.</w:t>
            </w:r>
            <w:r w:rsidRPr="006E5624">
              <w:t xml:space="preserve">  </w:t>
            </w:r>
          </w:p>
        </w:tc>
      </w:tr>
      <w:tr w:rsidR="00A835E1" w14:paraId="61B0F7A5" w14:textId="77777777" w:rsidTr="001244FC">
        <w:trPr>
          <w:cantSplit/>
        </w:trPr>
        <w:tc>
          <w:tcPr>
            <w:tcW w:w="1871" w:type="dxa"/>
            <w:tcBorders>
              <w:top w:val="nil"/>
              <w:left w:val="nil"/>
              <w:bottom w:val="nil"/>
              <w:right w:val="nil"/>
            </w:tcBorders>
          </w:tcPr>
          <w:p w14:paraId="525C16D3" w14:textId="77777777" w:rsidR="00A835E1" w:rsidRPr="006E5624" w:rsidRDefault="00A835E1" w:rsidP="001244FC">
            <w:pPr>
              <w:pStyle w:val="TableSideHeading"/>
              <w:ind w:right="0"/>
            </w:pPr>
            <w:r w:rsidRPr="006E5624">
              <w:rPr>
                <w:rtl/>
              </w:rPr>
              <w:t>פגיעה בזכויות</w:t>
            </w:r>
          </w:p>
        </w:tc>
        <w:tc>
          <w:tcPr>
            <w:tcW w:w="624" w:type="dxa"/>
            <w:tcBorders>
              <w:top w:val="nil"/>
              <w:left w:val="nil"/>
              <w:bottom w:val="nil"/>
              <w:right w:val="nil"/>
            </w:tcBorders>
          </w:tcPr>
          <w:p w14:paraId="31E490A4" w14:textId="77777777" w:rsidR="00A835E1" w:rsidRPr="006E5624" w:rsidRDefault="00A835E1" w:rsidP="001244FC">
            <w:pPr>
              <w:pStyle w:val="TableText"/>
              <w:ind w:right="0"/>
              <w:jc w:val="both"/>
            </w:pPr>
            <w:r w:rsidRPr="006E5624">
              <w:rPr>
                <w:rtl/>
              </w:rPr>
              <w:t>12.</w:t>
            </w:r>
          </w:p>
        </w:tc>
        <w:tc>
          <w:tcPr>
            <w:tcW w:w="7146" w:type="dxa"/>
            <w:tcBorders>
              <w:top w:val="nil"/>
              <w:left w:val="nil"/>
              <w:bottom w:val="nil"/>
              <w:right w:val="nil"/>
            </w:tcBorders>
          </w:tcPr>
          <w:p w14:paraId="288DC450" w14:textId="77777777" w:rsidR="00A835E1" w:rsidRPr="006E5624" w:rsidRDefault="00A835E1" w:rsidP="001244FC">
            <w:pPr>
              <w:pStyle w:val="TableBlock"/>
            </w:pPr>
            <w:r>
              <w:rPr>
                <w:rtl/>
              </w:rPr>
              <w:t>אין פוגעים בזכויות שלפי חוק</w:t>
            </w:r>
            <w:r>
              <w:rPr>
                <w:rFonts w:hint="cs"/>
                <w:rtl/>
              </w:rPr>
              <w:t>-</w:t>
            </w:r>
            <w:r w:rsidRPr="006E5624">
              <w:rPr>
                <w:rtl/>
              </w:rPr>
              <w:t>יסוד זה אלא בחוק ההולם את ערכיה של מדינת ישראל כמדינה דמוקרטית, שנועד לתכלית ראויה, ובמידה שאינה עולה על הנדרש.</w:t>
            </w:r>
            <w:r w:rsidRPr="006E5624">
              <w:t xml:space="preserve">  </w:t>
            </w:r>
          </w:p>
        </w:tc>
      </w:tr>
      <w:tr w:rsidR="00A835E1" w14:paraId="6E28F074" w14:textId="77777777" w:rsidTr="001244FC">
        <w:trPr>
          <w:cantSplit/>
        </w:trPr>
        <w:tc>
          <w:tcPr>
            <w:tcW w:w="1871" w:type="dxa"/>
            <w:tcBorders>
              <w:top w:val="nil"/>
              <w:left w:val="nil"/>
              <w:bottom w:val="nil"/>
              <w:right w:val="nil"/>
            </w:tcBorders>
          </w:tcPr>
          <w:p w14:paraId="5D1952D3" w14:textId="77777777" w:rsidR="00A835E1" w:rsidRPr="006E5624" w:rsidRDefault="00A835E1" w:rsidP="001244FC">
            <w:pPr>
              <w:pStyle w:val="TableSideHeading"/>
              <w:ind w:right="0"/>
            </w:pPr>
            <w:r w:rsidRPr="006E5624">
              <w:rPr>
                <w:rtl/>
              </w:rPr>
              <w:t>יציבות</w:t>
            </w:r>
          </w:p>
        </w:tc>
        <w:tc>
          <w:tcPr>
            <w:tcW w:w="624" w:type="dxa"/>
            <w:tcBorders>
              <w:top w:val="nil"/>
              <w:left w:val="nil"/>
              <w:bottom w:val="nil"/>
              <w:right w:val="nil"/>
            </w:tcBorders>
          </w:tcPr>
          <w:p w14:paraId="2F8B5959" w14:textId="77777777" w:rsidR="00A835E1" w:rsidRPr="006E5624" w:rsidRDefault="00A835E1" w:rsidP="001244FC">
            <w:pPr>
              <w:pStyle w:val="TableText"/>
              <w:ind w:right="0"/>
              <w:jc w:val="both"/>
            </w:pPr>
            <w:r w:rsidRPr="006E5624">
              <w:rPr>
                <w:rtl/>
              </w:rPr>
              <w:t>13.</w:t>
            </w:r>
          </w:p>
        </w:tc>
        <w:tc>
          <w:tcPr>
            <w:tcW w:w="7146" w:type="dxa"/>
            <w:tcBorders>
              <w:top w:val="nil"/>
              <w:left w:val="nil"/>
              <w:bottom w:val="nil"/>
              <w:right w:val="nil"/>
            </w:tcBorders>
          </w:tcPr>
          <w:p w14:paraId="0FEF6601" w14:textId="68970936" w:rsidR="00A835E1" w:rsidRPr="006E5624" w:rsidRDefault="00A835E1" w:rsidP="001244FC">
            <w:pPr>
              <w:pStyle w:val="TableBlock"/>
            </w:pPr>
            <w:r w:rsidRPr="006E5624">
              <w:rPr>
                <w:rtl/>
              </w:rPr>
              <w:t xml:space="preserve">אין </w:t>
            </w:r>
            <w:r w:rsidR="007614BE">
              <w:rPr>
                <w:rFonts w:hint="cs"/>
                <w:rtl/>
              </w:rPr>
              <w:t>ב</w:t>
            </w:r>
            <w:r w:rsidRPr="006E5624">
              <w:rPr>
                <w:rtl/>
              </w:rPr>
              <w:t>כו</w:t>
            </w:r>
            <w:r>
              <w:rPr>
                <w:rtl/>
              </w:rPr>
              <w:t>חן של תקנות שעת חירום לשנות חוק</w:t>
            </w:r>
            <w:r>
              <w:rPr>
                <w:rFonts w:hint="cs"/>
                <w:rtl/>
              </w:rPr>
              <w:t>-</w:t>
            </w:r>
            <w:r w:rsidRPr="006E5624">
              <w:rPr>
                <w:rtl/>
              </w:rPr>
              <w:t>יסוד זה, להפקיע זמנית את תוקפו או לקבוע בו תנאים.</w:t>
            </w:r>
            <w:r w:rsidRPr="006E5624">
              <w:t xml:space="preserve">  </w:t>
            </w:r>
          </w:p>
        </w:tc>
      </w:tr>
      <w:tr w:rsidR="00A835E1" w14:paraId="7BE83F8C" w14:textId="77777777" w:rsidTr="001244FC">
        <w:trPr>
          <w:cantSplit/>
        </w:trPr>
        <w:tc>
          <w:tcPr>
            <w:tcW w:w="1871" w:type="dxa"/>
            <w:tcBorders>
              <w:top w:val="nil"/>
              <w:left w:val="nil"/>
              <w:bottom w:val="nil"/>
              <w:right w:val="nil"/>
            </w:tcBorders>
          </w:tcPr>
          <w:p w14:paraId="339D85E8" w14:textId="77777777" w:rsidR="00A835E1" w:rsidRPr="006E5624" w:rsidRDefault="00A835E1" w:rsidP="001244FC">
            <w:pPr>
              <w:pStyle w:val="TableSideHeading"/>
              <w:ind w:right="0"/>
            </w:pPr>
            <w:r w:rsidRPr="006E5624">
              <w:rPr>
                <w:rtl/>
              </w:rPr>
              <w:t>נוקשות</w:t>
            </w:r>
          </w:p>
        </w:tc>
        <w:tc>
          <w:tcPr>
            <w:tcW w:w="624" w:type="dxa"/>
            <w:tcBorders>
              <w:top w:val="nil"/>
              <w:left w:val="nil"/>
              <w:bottom w:val="nil"/>
              <w:right w:val="nil"/>
            </w:tcBorders>
          </w:tcPr>
          <w:p w14:paraId="3D26E12F" w14:textId="77777777" w:rsidR="00A835E1" w:rsidRPr="006E5624" w:rsidRDefault="00A835E1" w:rsidP="001244FC">
            <w:pPr>
              <w:pStyle w:val="TableText"/>
              <w:ind w:right="0"/>
              <w:jc w:val="both"/>
            </w:pPr>
            <w:r w:rsidRPr="006E5624">
              <w:rPr>
                <w:rtl/>
              </w:rPr>
              <w:t>14.</w:t>
            </w:r>
          </w:p>
        </w:tc>
        <w:tc>
          <w:tcPr>
            <w:tcW w:w="7146" w:type="dxa"/>
            <w:tcBorders>
              <w:top w:val="nil"/>
              <w:left w:val="nil"/>
              <w:bottom w:val="nil"/>
              <w:right w:val="nil"/>
            </w:tcBorders>
          </w:tcPr>
          <w:p w14:paraId="1799A1FE" w14:textId="77777777" w:rsidR="00A835E1" w:rsidRPr="006E5624" w:rsidRDefault="00A835E1" w:rsidP="001244FC">
            <w:pPr>
              <w:pStyle w:val="TableBlock"/>
            </w:pPr>
            <w:r>
              <w:rPr>
                <w:rtl/>
              </w:rPr>
              <w:t>אין לשנות חוק</w:t>
            </w:r>
            <w:r>
              <w:rPr>
                <w:rFonts w:hint="cs"/>
                <w:rtl/>
              </w:rPr>
              <w:t>-</w:t>
            </w:r>
            <w:r>
              <w:rPr>
                <w:rtl/>
              </w:rPr>
              <w:t>יסוד זה אלא בחוק</w:t>
            </w:r>
            <w:r>
              <w:rPr>
                <w:rFonts w:hint="cs"/>
                <w:rtl/>
              </w:rPr>
              <w:t>-</w:t>
            </w:r>
            <w:r w:rsidRPr="006E5624">
              <w:rPr>
                <w:rtl/>
              </w:rPr>
              <w:t>יסוד שנתקבל ברוב של חברי הכנסת.</w:t>
            </w:r>
          </w:p>
        </w:tc>
      </w:tr>
    </w:tbl>
    <w:p w14:paraId="7F6961AE" w14:textId="77777777" w:rsidR="00E13C27" w:rsidRPr="00A835E1" w:rsidRDefault="00E13C27" w:rsidP="003E4CC6">
      <w:pPr>
        <w:pStyle w:val="HeadDivreiHesber"/>
        <w:spacing w:before="0" w:after="0"/>
        <w:jc w:val="left"/>
        <w:rPr>
          <w:rtl/>
        </w:rPr>
      </w:pPr>
    </w:p>
    <w:p w14:paraId="7F6961CA" w14:textId="77777777" w:rsidR="002D1EE3" w:rsidRDefault="002D1EE3" w:rsidP="002D1EE3">
      <w:pPr>
        <w:pStyle w:val="HeadDivreiHesber"/>
        <w:rPr>
          <w:rtl/>
        </w:rPr>
      </w:pPr>
      <w:r w:rsidRPr="0027450A">
        <w:rPr>
          <w:rFonts w:hint="cs"/>
          <w:rtl/>
        </w:rPr>
        <w:t>דברי הסבר</w:t>
      </w:r>
    </w:p>
    <w:p w14:paraId="251532C1" w14:textId="65A158A8" w:rsidR="003E4CC6" w:rsidRPr="00A835E1" w:rsidRDefault="003E4CC6" w:rsidP="00A835E1">
      <w:pPr>
        <w:pStyle w:val="Hesber"/>
        <w:rPr>
          <w:rtl/>
        </w:rPr>
      </w:pPr>
      <w:r w:rsidRPr="00A835E1">
        <w:rPr>
          <w:rtl/>
        </w:rPr>
        <w:t xml:space="preserve">החוק הישראלי אינו מכיר בזכויות קולקטיביות לערבים אזרחי מדינת ישראל, אלא על בסיס של שייכות דתית. הרשויות בישראל מדברות באופן רשמי על "בני מיעוטים" או על "אוכלוסייה לא יהודית" ולא על מיעוט לאומי ערבי. </w:t>
      </w:r>
    </w:p>
    <w:p w14:paraId="3AEB7AB0" w14:textId="79D30742" w:rsidR="003E4CC6" w:rsidRPr="00A835E1" w:rsidRDefault="003E4CC6" w:rsidP="00A835E1">
      <w:pPr>
        <w:pStyle w:val="Hesber"/>
        <w:rPr>
          <w:rtl/>
        </w:rPr>
      </w:pPr>
      <w:r w:rsidRPr="00A835E1">
        <w:rPr>
          <w:rtl/>
        </w:rPr>
        <w:t xml:space="preserve">מטרתו של חוק זה הינה להכיר במיעוט הערבי בישראל כמיעוט לאומי ערבי הזכאי לזכויות קולקטיביות ולבסס אותן על שוויון זכויות אזרחי מלא של האזרחים הערבים כיחידים. הכרה בזכויותיו של המיעוט הלאומי כקולקטיב משמעותה גם הכרה בזכותו לנהל את ענייניו התרבותיים. </w:t>
      </w:r>
    </w:p>
    <w:p w14:paraId="6D0600C4" w14:textId="2FCA7433" w:rsidR="003E4CC6" w:rsidRPr="00A835E1" w:rsidRDefault="003E4CC6" w:rsidP="00A835E1">
      <w:pPr>
        <w:pStyle w:val="Hesber"/>
        <w:rPr>
          <w:rtl/>
        </w:rPr>
      </w:pPr>
      <w:r w:rsidRPr="00A835E1">
        <w:rPr>
          <w:rtl/>
        </w:rPr>
        <w:t xml:space="preserve">ליברלים ובעלי נטיות רפובליקניות אינטגרטיביות מנסים לאתר ולמצוא סתירה בין שוויון זכויות אזרחי לבין זכויות קולקטיביות. הם רואים בכל זכות קולקטיבית של מיעוט לאומי או אחר כרצון להיבדלות, והאמת היא שבמקרים מסוימים אין אפשרות להבטיח שוויון מלא לאזרחים ללא הכרה חוקית בזהותו של הקולקטיב וצריך למצוא את האיזון הנכון בין שני האספקטים של היחס בין היחיד </w:t>
      </w:r>
      <w:r w:rsidRPr="00A835E1">
        <w:rPr>
          <w:rtl/>
        </w:rPr>
        <w:lastRenderedPageBreak/>
        <w:t>למדינה: הסטטוס שלו כאזרח שווה זכויות במדינה והשייכות הלאומית שלו למיעוט לאומי ערכי, שהתגבשותו הלאומית הערכית קדמה להקמת המדינה. מן הדין להוסיף כאן הסד המייחד את האוכלוסייה הערבית בישראל והוא היותה אוכלוסיית ילידים מקוריים שאינה מהווה מיעוט של מהגרים שהגיע למדינה במטרה להשתלב כאומה חדשה או ליצור אומה אחרת חוץ מזו שלה הוא משתייך.</w:t>
      </w:r>
    </w:p>
    <w:p w14:paraId="4682A1E1" w14:textId="04D8A0DF" w:rsidR="003E4CC6" w:rsidRPr="00A835E1" w:rsidRDefault="003E4CC6" w:rsidP="00A835E1">
      <w:pPr>
        <w:pStyle w:val="Hesber"/>
        <w:rPr>
          <w:rtl/>
        </w:rPr>
      </w:pPr>
      <w:r w:rsidRPr="00A835E1">
        <w:rPr>
          <w:rtl/>
        </w:rPr>
        <w:t>הצעת החוק הזו רואה בשוויון אזרחי במדינת כל אזרחיה ובהכרה באזרחות הערבים גם כקבוצה שני אספקטים משלימים של חיי האזרח הערבי במדינת ישראל.</w:t>
      </w:r>
    </w:p>
    <w:p w14:paraId="51D8ABBD" w14:textId="05A04469" w:rsidR="003E4CC6" w:rsidRPr="00A835E1" w:rsidRDefault="003E4CC6" w:rsidP="00A835E1">
      <w:pPr>
        <w:pStyle w:val="Hesber"/>
        <w:rPr>
          <w:rtl/>
        </w:rPr>
      </w:pPr>
      <w:r w:rsidRPr="00A835E1">
        <w:rPr>
          <w:rtl/>
        </w:rPr>
        <w:t xml:space="preserve">הצעת החוק מנוסחת ברוח העקרונות של ההכרזה וההצהרות בדבר זכויות האדם ובכלל זה ההצהרה על זכויותיהם של אנשים המשתייכים למיעוטים לאומיים, אתניים דתיים או </w:t>
      </w:r>
      <w:r w:rsidR="00E66A15" w:rsidRPr="00A835E1">
        <w:rPr>
          <w:rFonts w:hint="cs"/>
          <w:rtl/>
        </w:rPr>
        <w:t>לשוניים, משנ</w:t>
      </w:r>
      <w:r w:rsidR="00E66A15" w:rsidRPr="00A835E1">
        <w:rPr>
          <w:rFonts w:hint="eastAsia"/>
          <w:rtl/>
        </w:rPr>
        <w:t>ת</w:t>
      </w:r>
      <w:r w:rsidRPr="00A835E1">
        <w:rPr>
          <w:rtl/>
        </w:rPr>
        <w:t xml:space="preserve"> 1992 (להלן: "ההכרזה משנת 1992").</w:t>
      </w:r>
    </w:p>
    <w:p w14:paraId="6395A3B2" w14:textId="706D28DD" w:rsidR="003E4CC6" w:rsidRPr="00A835E1" w:rsidRDefault="003E4CC6" w:rsidP="00A835E1">
      <w:pPr>
        <w:pStyle w:val="Hesber"/>
        <w:rPr>
          <w:rtl/>
        </w:rPr>
      </w:pPr>
      <w:r w:rsidRPr="007C15FF">
        <w:rPr>
          <w:b/>
          <w:bCs/>
          <w:rtl/>
        </w:rPr>
        <w:t>סעיף 1</w:t>
      </w:r>
      <w:r w:rsidRPr="00A835E1">
        <w:rPr>
          <w:rtl/>
        </w:rPr>
        <w:t xml:space="preserve"> להצעת החוק נותן ביטוי חוקי להיותו של המיעוט הערבי במדינה, מיעוט לאומי.</w:t>
      </w:r>
    </w:p>
    <w:p w14:paraId="04B3DC10" w14:textId="4E1E4056" w:rsidR="00A835E1" w:rsidRDefault="003E4CC6" w:rsidP="00A835E1">
      <w:pPr>
        <w:pStyle w:val="Hesber"/>
        <w:rPr>
          <w:rtl/>
        </w:rPr>
      </w:pPr>
      <w:r w:rsidRPr="007C15FF">
        <w:rPr>
          <w:b/>
          <w:bCs/>
          <w:rtl/>
        </w:rPr>
        <w:t xml:space="preserve">סעיף 2 </w:t>
      </w:r>
      <w:r w:rsidRPr="00A835E1">
        <w:rPr>
          <w:rtl/>
        </w:rPr>
        <w:t xml:space="preserve">להצעת החוק </w:t>
      </w:r>
      <w:r w:rsidR="00A835E1">
        <w:rPr>
          <w:rFonts w:hint="cs"/>
          <w:rtl/>
        </w:rPr>
        <w:t>קובע כי נמנה עם המיעוט הערבי כל מי ששפת אמו ערבית.</w:t>
      </w:r>
    </w:p>
    <w:p w14:paraId="2180CC64" w14:textId="30B45497" w:rsidR="003E4CC6" w:rsidRPr="00A835E1" w:rsidRDefault="00A835E1" w:rsidP="00A835E1">
      <w:pPr>
        <w:pStyle w:val="Hesber"/>
        <w:rPr>
          <w:rtl/>
        </w:rPr>
      </w:pPr>
      <w:r w:rsidRPr="007C15FF">
        <w:rPr>
          <w:rFonts w:hint="cs"/>
          <w:b/>
          <w:bCs/>
          <w:rtl/>
        </w:rPr>
        <w:t>סעיף 3</w:t>
      </w:r>
      <w:r>
        <w:rPr>
          <w:rFonts w:hint="cs"/>
          <w:rtl/>
        </w:rPr>
        <w:t xml:space="preserve"> </w:t>
      </w:r>
      <w:r w:rsidR="003E4CC6" w:rsidRPr="00A835E1">
        <w:rPr>
          <w:rtl/>
        </w:rPr>
        <w:t>מעגן את זכויות היסוד והחירויות הבסיסיות של האזרחים הערבים. זכויות וחירויות המושתתות על היותם של אזרחי המדינה הערבים ילידי הארץ, על ההכרה בערך האדם, בקדושת חייו, בכבודו ובהיותו בן חורין.</w:t>
      </w:r>
    </w:p>
    <w:p w14:paraId="2D17FFA9" w14:textId="2A14F436" w:rsidR="003E4CC6" w:rsidRPr="00A835E1" w:rsidRDefault="003E4CC6" w:rsidP="007614BE">
      <w:pPr>
        <w:pStyle w:val="Hesber"/>
        <w:rPr>
          <w:rtl/>
        </w:rPr>
      </w:pPr>
      <w:r w:rsidRPr="007C15FF">
        <w:rPr>
          <w:b/>
          <w:bCs/>
          <w:rtl/>
        </w:rPr>
        <w:t xml:space="preserve">סעיף </w:t>
      </w:r>
      <w:r w:rsidR="00A835E1" w:rsidRPr="007C15FF">
        <w:rPr>
          <w:rFonts w:hint="cs"/>
          <w:b/>
          <w:bCs/>
          <w:rtl/>
        </w:rPr>
        <w:t>4</w:t>
      </w:r>
      <w:r w:rsidR="00A835E1" w:rsidRPr="007C15FF">
        <w:rPr>
          <w:b/>
          <w:bCs/>
          <w:rtl/>
        </w:rPr>
        <w:t xml:space="preserve"> </w:t>
      </w:r>
      <w:r w:rsidRPr="00A835E1">
        <w:rPr>
          <w:rtl/>
        </w:rPr>
        <w:t>להצעת החוק מעגן את עקרון השוויון. אזרחי המדינה הערבים זכאים לשוויון אזרחי ולשוויון הזדמנויות מלא. הפליה על רקע לאומי פסולה ומנוגדת לחוק. סעיף זה מנוסח ברוח סעיף 4(1) להכרזה משנת 1992.</w:t>
      </w:r>
    </w:p>
    <w:p w14:paraId="7E6111A5" w14:textId="182C4850" w:rsidR="003E4CC6" w:rsidRPr="00A835E1" w:rsidRDefault="003E4CC6" w:rsidP="00A835E1">
      <w:pPr>
        <w:pStyle w:val="Hesber"/>
        <w:rPr>
          <w:rtl/>
        </w:rPr>
      </w:pPr>
      <w:r w:rsidRPr="007C15FF">
        <w:rPr>
          <w:b/>
          <w:bCs/>
          <w:rtl/>
        </w:rPr>
        <w:t xml:space="preserve">סעיף </w:t>
      </w:r>
      <w:r w:rsidR="00A835E1" w:rsidRPr="007C15FF">
        <w:rPr>
          <w:rFonts w:hint="cs"/>
          <w:b/>
          <w:bCs/>
          <w:rtl/>
        </w:rPr>
        <w:t>5</w:t>
      </w:r>
      <w:r w:rsidR="00A835E1" w:rsidRPr="007C15FF">
        <w:rPr>
          <w:b/>
          <w:bCs/>
          <w:rtl/>
        </w:rPr>
        <w:t xml:space="preserve"> </w:t>
      </w:r>
      <w:r w:rsidRPr="00A835E1">
        <w:rPr>
          <w:rtl/>
        </w:rPr>
        <w:t>להצעת החוק, מעגן את זכותם של אזרחי המדינה הערבים להיות מיוצגים במוסדות המדינה השונים.</w:t>
      </w:r>
    </w:p>
    <w:p w14:paraId="223D9E2D" w14:textId="03E643A0" w:rsidR="003E4CC6" w:rsidRPr="00A835E1" w:rsidRDefault="003E4CC6" w:rsidP="00A835E1">
      <w:pPr>
        <w:pStyle w:val="Hesber"/>
        <w:rPr>
          <w:rtl/>
        </w:rPr>
      </w:pPr>
      <w:r w:rsidRPr="007C15FF">
        <w:rPr>
          <w:b/>
          <w:bCs/>
          <w:rtl/>
        </w:rPr>
        <w:t xml:space="preserve">סעיף </w:t>
      </w:r>
      <w:r w:rsidR="00A835E1" w:rsidRPr="007C15FF">
        <w:rPr>
          <w:rFonts w:hint="cs"/>
          <w:b/>
          <w:bCs/>
          <w:rtl/>
        </w:rPr>
        <w:t>6</w:t>
      </w:r>
      <w:r w:rsidR="00A835E1" w:rsidRPr="00A835E1">
        <w:rPr>
          <w:rtl/>
        </w:rPr>
        <w:t xml:space="preserve"> </w:t>
      </w:r>
      <w:r w:rsidRPr="00A835E1">
        <w:rPr>
          <w:rtl/>
        </w:rPr>
        <w:t>להצעת החוק, מעגן את זכותם של בני המיעוט הלאומי הערבי לטפח ולפתח את תרבותם, מסורתם ומנהגיהם. סעיף זה מנוסח ברוח סעיף 4(2) להכרזה משנת 1992.</w:t>
      </w:r>
    </w:p>
    <w:p w14:paraId="1887AE9E" w14:textId="75B6D5FE" w:rsidR="003E4CC6" w:rsidRPr="00A835E1" w:rsidRDefault="003E4CC6" w:rsidP="00A835E1">
      <w:pPr>
        <w:pStyle w:val="Hesber"/>
        <w:rPr>
          <w:rtl/>
        </w:rPr>
      </w:pPr>
      <w:r w:rsidRPr="007C15FF">
        <w:rPr>
          <w:b/>
          <w:bCs/>
          <w:rtl/>
        </w:rPr>
        <w:t xml:space="preserve">סעיף </w:t>
      </w:r>
      <w:r w:rsidR="00A835E1" w:rsidRPr="007C15FF">
        <w:rPr>
          <w:rFonts w:hint="cs"/>
          <w:b/>
          <w:bCs/>
          <w:rtl/>
        </w:rPr>
        <w:t>7</w:t>
      </w:r>
      <w:r w:rsidR="00A835E1" w:rsidRPr="00A835E1">
        <w:rPr>
          <w:rtl/>
        </w:rPr>
        <w:t xml:space="preserve"> </w:t>
      </w:r>
      <w:r w:rsidRPr="00A835E1">
        <w:rPr>
          <w:rtl/>
        </w:rPr>
        <w:t>להצעת החוק, מעגן את זכותם של בני המיעוט הלאומי הערבי להקים ולייסד מוסדות ייצוגיים בכל תחום שמייחד אותם כמיעוט לאומי. סעיף זה מנוסח ברוח סעיף 1(4) להכרזה משנת 1992.</w:t>
      </w:r>
    </w:p>
    <w:p w14:paraId="1E71D7BD" w14:textId="63BD685C" w:rsidR="003E4CC6" w:rsidRPr="00A835E1" w:rsidRDefault="003E4CC6" w:rsidP="00A835E1">
      <w:pPr>
        <w:pStyle w:val="Hesber"/>
        <w:rPr>
          <w:rtl/>
        </w:rPr>
      </w:pPr>
      <w:r w:rsidRPr="007C15FF">
        <w:rPr>
          <w:b/>
          <w:bCs/>
          <w:rtl/>
        </w:rPr>
        <w:t xml:space="preserve">סעיף </w:t>
      </w:r>
      <w:r w:rsidR="00A835E1" w:rsidRPr="007C15FF">
        <w:rPr>
          <w:rFonts w:hint="cs"/>
          <w:b/>
          <w:bCs/>
          <w:rtl/>
        </w:rPr>
        <w:t>8</w:t>
      </w:r>
      <w:r w:rsidR="00A835E1" w:rsidRPr="00A835E1">
        <w:rPr>
          <w:rtl/>
        </w:rPr>
        <w:t xml:space="preserve"> </w:t>
      </w:r>
      <w:r w:rsidRPr="00A835E1">
        <w:rPr>
          <w:rtl/>
        </w:rPr>
        <w:t xml:space="preserve">להצעת החוק, מעגן בחוק יסוד את מעמדה של השפה הערבית כשפה הרשמית השנייה במדינת ישראל. </w:t>
      </w:r>
    </w:p>
    <w:p w14:paraId="52D0F3B8" w14:textId="4689B01C" w:rsidR="003E4CC6" w:rsidRPr="00A835E1" w:rsidRDefault="003E4CC6" w:rsidP="007C15FF">
      <w:pPr>
        <w:pStyle w:val="Hesber"/>
        <w:rPr>
          <w:rtl/>
        </w:rPr>
      </w:pPr>
      <w:r w:rsidRPr="007C15FF">
        <w:rPr>
          <w:b/>
          <w:bCs/>
          <w:rtl/>
        </w:rPr>
        <w:t xml:space="preserve">סעיף </w:t>
      </w:r>
      <w:r w:rsidR="00A835E1" w:rsidRPr="007C15FF">
        <w:rPr>
          <w:rFonts w:hint="cs"/>
          <w:b/>
          <w:bCs/>
          <w:rtl/>
        </w:rPr>
        <w:t>9</w:t>
      </w:r>
      <w:r w:rsidR="00A835E1" w:rsidRPr="007C15FF">
        <w:rPr>
          <w:b/>
          <w:bCs/>
          <w:rtl/>
        </w:rPr>
        <w:t xml:space="preserve"> </w:t>
      </w:r>
      <w:r w:rsidRPr="00A835E1">
        <w:rPr>
          <w:rtl/>
        </w:rPr>
        <w:t>להצעת החוק מחייב את המדינה, על מסודותיה השונים, לשתף את בני המיעוט הערבי באופן פעיל בקבלת ההחלטות הנוגעות אליהם.</w:t>
      </w:r>
    </w:p>
    <w:p w14:paraId="0EA79A02" w14:textId="2B360B99" w:rsidR="003E4CC6" w:rsidRPr="00A835E1" w:rsidRDefault="003E4CC6" w:rsidP="00A835E1">
      <w:pPr>
        <w:pStyle w:val="Hesber"/>
        <w:rPr>
          <w:rtl/>
        </w:rPr>
      </w:pPr>
      <w:r w:rsidRPr="007C15FF">
        <w:rPr>
          <w:b/>
          <w:bCs/>
          <w:rtl/>
        </w:rPr>
        <w:t>סעיף 10</w:t>
      </w:r>
      <w:r w:rsidRPr="00A835E1">
        <w:rPr>
          <w:rtl/>
        </w:rPr>
        <w:t xml:space="preserve"> להצעת החוק, נועד במטרה להדגיש את הזיקה המיוחדת של המיעוט הערבי לעם הפלסטיני ולשאר עמי ערב. סעיף זה מנוסח ברוח סעיף 2(5) להכרזה משנת 1992.</w:t>
      </w:r>
    </w:p>
    <w:p w14:paraId="0395A9DB" w14:textId="5367B5DC" w:rsidR="003E4CC6" w:rsidRPr="00A835E1" w:rsidRDefault="003E4CC6" w:rsidP="00A835E1">
      <w:pPr>
        <w:pStyle w:val="Hesber"/>
        <w:rPr>
          <w:rtl/>
        </w:rPr>
      </w:pPr>
      <w:r w:rsidRPr="007C15FF">
        <w:rPr>
          <w:b/>
          <w:bCs/>
          <w:rtl/>
        </w:rPr>
        <w:t>סעיף 11</w:t>
      </w:r>
      <w:r w:rsidRPr="00A835E1">
        <w:rPr>
          <w:rtl/>
        </w:rPr>
        <w:t xml:space="preserve"> קובע את חובות המדינה כלפי בני המיעוט הערבי.</w:t>
      </w:r>
    </w:p>
    <w:p w14:paraId="2F93F642" w14:textId="405E1A98" w:rsidR="003E4CC6" w:rsidRDefault="00A835E1" w:rsidP="00A835E1">
      <w:pPr>
        <w:pStyle w:val="Hesber"/>
        <w:rPr>
          <w:rtl/>
        </w:rPr>
      </w:pPr>
      <w:r>
        <w:rPr>
          <w:rFonts w:hint="cs"/>
          <w:rtl/>
        </w:rPr>
        <w:t xml:space="preserve">הצעת חוק זהה הונחה על שולחן הכנסת העשרים על ידי חבר הכנסת ג'מאל </w:t>
      </w:r>
      <w:proofErr w:type="spellStart"/>
      <w:r>
        <w:rPr>
          <w:rFonts w:hint="cs"/>
          <w:rtl/>
        </w:rPr>
        <w:t>זחאלקה</w:t>
      </w:r>
      <w:proofErr w:type="spellEnd"/>
      <w:r>
        <w:rPr>
          <w:rFonts w:hint="cs"/>
          <w:rtl/>
        </w:rPr>
        <w:t xml:space="preserve"> וקבוצת חברי הכנסת (פ/1591/20).</w:t>
      </w:r>
    </w:p>
    <w:p w14:paraId="593FEC3F" w14:textId="77777777" w:rsidR="007C15FF" w:rsidRDefault="007C15FF" w:rsidP="00A835E1">
      <w:pPr>
        <w:pStyle w:val="Hesber"/>
        <w:rPr>
          <w:rtl/>
        </w:rPr>
      </w:pPr>
    </w:p>
    <w:p w14:paraId="040544D0" w14:textId="77777777" w:rsidR="007C15FF" w:rsidRPr="00D73212" w:rsidRDefault="007C15FF" w:rsidP="007C15FF">
      <w:pPr>
        <w:pStyle w:val="Hesber"/>
        <w:ind w:firstLine="0"/>
        <w:rPr>
          <w:color w:val="auto"/>
          <w:rtl/>
          <w:lang w:eastAsia="en-US"/>
        </w:rPr>
      </w:pPr>
      <w:r w:rsidRPr="00D73212">
        <w:rPr>
          <w:color w:val="auto"/>
          <w:rtl/>
          <w:lang w:eastAsia="en-US"/>
        </w:rPr>
        <w:t>---------------------------------</w:t>
      </w:r>
    </w:p>
    <w:p w14:paraId="592D87DF" w14:textId="77777777" w:rsidR="007C15FF" w:rsidRPr="0051670D" w:rsidRDefault="007C15FF" w:rsidP="007C15FF">
      <w:pPr>
        <w:pStyle w:val="Hesber"/>
        <w:ind w:firstLine="0"/>
        <w:rPr>
          <w:color w:val="auto"/>
          <w:sz w:val="26"/>
          <w:rtl/>
          <w:lang w:eastAsia="en-US"/>
        </w:rPr>
      </w:pPr>
      <w:r w:rsidRPr="0051670D">
        <w:rPr>
          <w:rFonts w:hint="cs"/>
          <w:color w:val="auto"/>
          <w:sz w:val="26"/>
          <w:rtl/>
          <w:lang w:eastAsia="en-US"/>
        </w:rPr>
        <w:t>הוגשה</w:t>
      </w:r>
      <w:r w:rsidRPr="0051670D">
        <w:rPr>
          <w:color w:val="auto"/>
          <w:sz w:val="26"/>
          <w:rtl/>
          <w:lang w:eastAsia="en-US"/>
        </w:rPr>
        <w:t xml:space="preserve"> </w:t>
      </w:r>
      <w:r w:rsidRPr="0051670D">
        <w:rPr>
          <w:rFonts w:hint="cs"/>
          <w:color w:val="auto"/>
          <w:sz w:val="26"/>
          <w:rtl/>
          <w:lang w:eastAsia="en-US"/>
        </w:rPr>
        <w:t>ליו</w:t>
      </w:r>
      <w:r w:rsidRPr="0051670D">
        <w:rPr>
          <w:color w:val="auto"/>
          <w:sz w:val="26"/>
          <w:rtl/>
          <w:lang w:eastAsia="en-US"/>
        </w:rPr>
        <w:t>"</w:t>
      </w:r>
      <w:r w:rsidRPr="0051670D">
        <w:rPr>
          <w:rFonts w:hint="cs"/>
          <w:color w:val="auto"/>
          <w:sz w:val="26"/>
          <w:rtl/>
          <w:lang w:eastAsia="en-US"/>
        </w:rPr>
        <w:t>ר</w:t>
      </w:r>
      <w:r w:rsidRPr="0051670D">
        <w:rPr>
          <w:color w:val="auto"/>
          <w:sz w:val="26"/>
          <w:rtl/>
          <w:lang w:eastAsia="en-US"/>
        </w:rPr>
        <w:t xml:space="preserve"> </w:t>
      </w:r>
      <w:r w:rsidRPr="0051670D">
        <w:rPr>
          <w:rFonts w:hint="cs"/>
          <w:color w:val="auto"/>
          <w:sz w:val="26"/>
          <w:rtl/>
          <w:lang w:eastAsia="en-US"/>
        </w:rPr>
        <w:t>הכנסת</w:t>
      </w:r>
      <w:r w:rsidRPr="0051670D">
        <w:rPr>
          <w:color w:val="auto"/>
          <w:sz w:val="26"/>
          <w:rtl/>
          <w:lang w:eastAsia="en-US"/>
        </w:rPr>
        <w:t xml:space="preserve"> </w:t>
      </w:r>
      <w:r w:rsidRPr="0051670D">
        <w:rPr>
          <w:rFonts w:hint="cs"/>
          <w:color w:val="auto"/>
          <w:sz w:val="26"/>
          <w:rtl/>
          <w:lang w:eastAsia="en-US"/>
        </w:rPr>
        <w:t>והסגנים</w:t>
      </w:r>
    </w:p>
    <w:p w14:paraId="42C26B93" w14:textId="77777777" w:rsidR="007C15FF" w:rsidRPr="0051670D" w:rsidRDefault="007C15FF" w:rsidP="007C15FF">
      <w:pPr>
        <w:pStyle w:val="Hesber"/>
        <w:ind w:firstLine="0"/>
        <w:rPr>
          <w:color w:val="auto"/>
          <w:sz w:val="26"/>
          <w:rtl/>
          <w:lang w:eastAsia="en-US"/>
        </w:rPr>
      </w:pPr>
      <w:r w:rsidRPr="0051670D">
        <w:rPr>
          <w:rFonts w:hint="cs"/>
          <w:color w:val="auto"/>
          <w:sz w:val="26"/>
          <w:rtl/>
          <w:lang w:eastAsia="en-US"/>
        </w:rPr>
        <w:t>והונחה</w:t>
      </w:r>
      <w:r w:rsidRPr="0051670D">
        <w:rPr>
          <w:color w:val="auto"/>
          <w:sz w:val="26"/>
          <w:rtl/>
          <w:lang w:eastAsia="en-US"/>
        </w:rPr>
        <w:t xml:space="preserve"> </w:t>
      </w:r>
      <w:r w:rsidRPr="0051670D">
        <w:rPr>
          <w:rFonts w:hint="cs"/>
          <w:color w:val="auto"/>
          <w:sz w:val="26"/>
          <w:rtl/>
          <w:lang w:eastAsia="en-US"/>
        </w:rPr>
        <w:t>על</w:t>
      </w:r>
      <w:r w:rsidRPr="0051670D">
        <w:rPr>
          <w:color w:val="auto"/>
          <w:sz w:val="26"/>
          <w:rtl/>
          <w:lang w:eastAsia="en-US"/>
        </w:rPr>
        <w:t xml:space="preserve"> </w:t>
      </w:r>
      <w:r w:rsidRPr="0051670D">
        <w:rPr>
          <w:rFonts w:hint="cs"/>
          <w:color w:val="auto"/>
          <w:sz w:val="26"/>
          <w:rtl/>
          <w:lang w:eastAsia="en-US"/>
        </w:rPr>
        <w:t>שולחן</w:t>
      </w:r>
      <w:r w:rsidRPr="0051670D">
        <w:rPr>
          <w:color w:val="auto"/>
          <w:sz w:val="26"/>
          <w:rtl/>
          <w:lang w:eastAsia="en-US"/>
        </w:rPr>
        <w:t xml:space="preserve"> </w:t>
      </w:r>
      <w:r w:rsidRPr="0051670D">
        <w:rPr>
          <w:rFonts w:hint="cs"/>
          <w:color w:val="auto"/>
          <w:sz w:val="26"/>
          <w:rtl/>
          <w:lang w:eastAsia="en-US"/>
        </w:rPr>
        <w:t>הכנסת</w:t>
      </w:r>
      <w:r w:rsidRPr="0051670D">
        <w:rPr>
          <w:color w:val="auto"/>
          <w:sz w:val="26"/>
          <w:rtl/>
          <w:lang w:eastAsia="en-US"/>
        </w:rPr>
        <w:t xml:space="preserve"> </w:t>
      </w:r>
      <w:r w:rsidRPr="0051670D">
        <w:rPr>
          <w:rFonts w:hint="cs"/>
          <w:color w:val="auto"/>
          <w:sz w:val="26"/>
          <w:rtl/>
          <w:lang w:eastAsia="en-US"/>
        </w:rPr>
        <w:t>ביום</w:t>
      </w:r>
    </w:p>
    <w:p w14:paraId="7F6961CB" w14:textId="24C58E3F" w:rsidR="00E13C27" w:rsidRPr="00A835E1" w:rsidRDefault="007C15FF" w:rsidP="00E2067A">
      <w:pPr>
        <w:pStyle w:val="Hesber"/>
        <w:ind w:firstLine="0"/>
        <w:rPr>
          <w:rtl/>
        </w:rPr>
      </w:pPr>
      <w:r>
        <w:rPr>
          <w:rFonts w:hint="cs"/>
          <w:color w:val="auto"/>
          <w:rtl/>
          <w:lang w:eastAsia="en-US"/>
        </w:rPr>
        <w:t>ט"ז</w:t>
      </w:r>
      <w:r w:rsidRPr="0051670D">
        <w:rPr>
          <w:rFonts w:hint="cs"/>
          <w:color w:val="auto"/>
          <w:sz w:val="26"/>
          <w:rtl/>
          <w:lang w:eastAsia="en-US"/>
        </w:rPr>
        <w:t xml:space="preserve"> בסיוון </w:t>
      </w:r>
      <w:proofErr w:type="spellStart"/>
      <w:r w:rsidRPr="0051670D">
        <w:rPr>
          <w:rFonts w:hint="cs"/>
          <w:color w:val="auto"/>
          <w:sz w:val="26"/>
          <w:rtl/>
          <w:lang w:eastAsia="en-US"/>
        </w:rPr>
        <w:t>התש"ף</w:t>
      </w:r>
      <w:proofErr w:type="spellEnd"/>
      <w:r w:rsidRPr="0051670D">
        <w:rPr>
          <w:rFonts w:hint="cs"/>
          <w:color w:val="auto"/>
          <w:sz w:val="26"/>
          <w:rtl/>
          <w:lang w:eastAsia="en-US"/>
        </w:rPr>
        <w:t xml:space="preserve"> </w:t>
      </w:r>
      <w:r w:rsidRPr="0051670D">
        <w:rPr>
          <w:color w:val="auto"/>
          <w:sz w:val="26"/>
          <w:rtl/>
          <w:lang w:eastAsia="en-US"/>
        </w:rPr>
        <w:t>–</w:t>
      </w:r>
      <w:r w:rsidRPr="0051670D">
        <w:rPr>
          <w:rFonts w:hint="cs"/>
          <w:color w:val="auto"/>
          <w:sz w:val="26"/>
          <w:rtl/>
          <w:lang w:eastAsia="en-US"/>
        </w:rPr>
        <w:t xml:space="preserve"> 8.6.20</w:t>
      </w:r>
      <w:bookmarkStart w:id="6" w:name="_GoBack"/>
      <w:bookmarkEnd w:id="6"/>
    </w:p>
    <w:sectPr w:rsidR="00E13C27" w:rsidRPr="00A835E1"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E2067A">
      <w:rPr>
        <w:rStyle w:val="aa"/>
        <w:noProof/>
        <w:rtl/>
      </w:rPr>
      <w:t>3</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3B66F5"/>
    <w:multiLevelType w:val="hybridMultilevel"/>
    <w:tmpl w:val="0100C3E0"/>
    <w:lvl w:ilvl="0" w:tplc="2A067CE8">
      <w:start w:val="1"/>
      <w:numFmt w:val="hebrew1"/>
      <w:lvlText w:val="(%1)"/>
      <w:lvlJc w:val="left"/>
      <w:pPr>
        <w:tabs>
          <w:tab w:val="num" w:pos="822"/>
        </w:tabs>
        <w:ind w:left="822" w:hanging="420"/>
      </w:pPr>
      <w:rPr>
        <w:rFonts w:cs="Times New Roman"/>
        <w:szCs w:val="24"/>
      </w:rPr>
    </w:lvl>
    <w:lvl w:ilvl="1" w:tplc="040D0019">
      <w:start w:val="1"/>
      <w:numFmt w:val="decimal"/>
      <w:lvlText w:val="%2."/>
      <w:lvlJc w:val="left"/>
      <w:pPr>
        <w:tabs>
          <w:tab w:val="num" w:pos="1440"/>
        </w:tabs>
        <w:ind w:left="1440" w:hanging="360"/>
      </w:pPr>
      <w:rPr>
        <w:rFonts w:cs="Times New Roman"/>
      </w:rPr>
    </w:lvl>
    <w:lvl w:ilvl="2" w:tplc="040D001B">
      <w:start w:val="1"/>
      <w:numFmt w:val="decimal"/>
      <w:lvlText w:val="%3."/>
      <w:lvlJc w:val="left"/>
      <w:pPr>
        <w:tabs>
          <w:tab w:val="num" w:pos="2160"/>
        </w:tabs>
        <w:ind w:left="2160" w:hanging="360"/>
      </w:pPr>
      <w:rPr>
        <w:rFonts w:cs="Times New Roman"/>
      </w:rPr>
    </w:lvl>
    <w:lvl w:ilvl="3" w:tplc="040D000F">
      <w:start w:val="1"/>
      <w:numFmt w:val="decimal"/>
      <w:lvlText w:val="%4."/>
      <w:lvlJc w:val="left"/>
      <w:pPr>
        <w:tabs>
          <w:tab w:val="num" w:pos="2880"/>
        </w:tabs>
        <w:ind w:left="2880" w:hanging="360"/>
      </w:pPr>
      <w:rPr>
        <w:rFonts w:cs="Times New Roman"/>
      </w:rPr>
    </w:lvl>
    <w:lvl w:ilvl="4" w:tplc="040D0019">
      <w:start w:val="1"/>
      <w:numFmt w:val="decimal"/>
      <w:lvlText w:val="%5."/>
      <w:lvlJc w:val="left"/>
      <w:pPr>
        <w:tabs>
          <w:tab w:val="num" w:pos="3600"/>
        </w:tabs>
        <w:ind w:left="3600" w:hanging="360"/>
      </w:pPr>
      <w:rPr>
        <w:rFonts w:cs="Times New Roman"/>
      </w:rPr>
    </w:lvl>
    <w:lvl w:ilvl="5" w:tplc="040D001B">
      <w:start w:val="1"/>
      <w:numFmt w:val="decimal"/>
      <w:lvlText w:val="%6."/>
      <w:lvlJc w:val="left"/>
      <w:pPr>
        <w:tabs>
          <w:tab w:val="num" w:pos="4320"/>
        </w:tabs>
        <w:ind w:left="4320" w:hanging="360"/>
      </w:pPr>
      <w:rPr>
        <w:rFonts w:cs="Times New Roman"/>
      </w:rPr>
    </w:lvl>
    <w:lvl w:ilvl="6" w:tplc="040D000F">
      <w:start w:val="1"/>
      <w:numFmt w:val="decimal"/>
      <w:lvlText w:val="%7."/>
      <w:lvlJc w:val="left"/>
      <w:pPr>
        <w:tabs>
          <w:tab w:val="num" w:pos="5040"/>
        </w:tabs>
        <w:ind w:left="5040" w:hanging="360"/>
      </w:pPr>
      <w:rPr>
        <w:rFonts w:cs="Times New Roman"/>
      </w:rPr>
    </w:lvl>
    <w:lvl w:ilvl="7" w:tplc="040D0019">
      <w:start w:val="1"/>
      <w:numFmt w:val="decimal"/>
      <w:lvlText w:val="%8."/>
      <w:lvlJc w:val="left"/>
      <w:pPr>
        <w:tabs>
          <w:tab w:val="num" w:pos="5760"/>
        </w:tabs>
        <w:ind w:left="5760" w:hanging="360"/>
      </w:pPr>
      <w:rPr>
        <w:rFonts w:cs="Times New Roman"/>
      </w:rPr>
    </w:lvl>
    <w:lvl w:ilvl="8" w:tplc="040D001B">
      <w:start w:val="1"/>
      <w:numFmt w:val="decimal"/>
      <w:lvlText w:val="%9."/>
      <w:lvlJc w:val="left"/>
      <w:pPr>
        <w:tabs>
          <w:tab w:val="num" w:pos="6480"/>
        </w:tabs>
        <w:ind w:left="6480" w:hanging="360"/>
      </w:pPr>
      <w:rPr>
        <w:rFonts w:cs="Times New Roman"/>
      </w:rPr>
    </w:lvl>
  </w:abstractNum>
  <w:abstractNum w:abstractNumId="13" w15:restartNumberingAfterBreak="0">
    <w:nsid w:val="5CE17CB1"/>
    <w:multiLevelType w:val="hybridMultilevel"/>
    <w:tmpl w:val="56EAC086"/>
    <w:lvl w:ilvl="0" w:tplc="2A067CE8">
      <w:start w:val="1"/>
      <w:numFmt w:val="hebrew1"/>
      <w:lvlText w:val="(%1)"/>
      <w:lvlJc w:val="left"/>
      <w:pPr>
        <w:tabs>
          <w:tab w:val="num" w:pos="780"/>
        </w:tabs>
        <w:ind w:left="780" w:hanging="420"/>
      </w:pPr>
      <w:rPr>
        <w:rFonts w:cs="Times New Roman"/>
        <w:szCs w:val="24"/>
      </w:rPr>
    </w:lvl>
    <w:lvl w:ilvl="1" w:tplc="040D0019">
      <w:start w:val="1"/>
      <w:numFmt w:val="decimal"/>
      <w:lvlText w:val="%2."/>
      <w:lvlJc w:val="left"/>
      <w:pPr>
        <w:tabs>
          <w:tab w:val="num" w:pos="1440"/>
        </w:tabs>
        <w:ind w:left="1440" w:hanging="360"/>
      </w:pPr>
      <w:rPr>
        <w:rFonts w:cs="Times New Roman"/>
      </w:rPr>
    </w:lvl>
    <w:lvl w:ilvl="2" w:tplc="040D001B">
      <w:start w:val="1"/>
      <w:numFmt w:val="decimal"/>
      <w:lvlText w:val="%3."/>
      <w:lvlJc w:val="left"/>
      <w:pPr>
        <w:tabs>
          <w:tab w:val="num" w:pos="2160"/>
        </w:tabs>
        <w:ind w:left="2160" w:hanging="360"/>
      </w:pPr>
      <w:rPr>
        <w:rFonts w:cs="Times New Roman"/>
      </w:rPr>
    </w:lvl>
    <w:lvl w:ilvl="3" w:tplc="040D000F">
      <w:start w:val="1"/>
      <w:numFmt w:val="decimal"/>
      <w:lvlText w:val="%4."/>
      <w:lvlJc w:val="left"/>
      <w:pPr>
        <w:tabs>
          <w:tab w:val="num" w:pos="2880"/>
        </w:tabs>
        <w:ind w:left="2880" w:hanging="360"/>
      </w:pPr>
      <w:rPr>
        <w:rFonts w:cs="Times New Roman"/>
      </w:rPr>
    </w:lvl>
    <w:lvl w:ilvl="4" w:tplc="040D0019">
      <w:start w:val="1"/>
      <w:numFmt w:val="decimal"/>
      <w:lvlText w:val="%5."/>
      <w:lvlJc w:val="left"/>
      <w:pPr>
        <w:tabs>
          <w:tab w:val="num" w:pos="3600"/>
        </w:tabs>
        <w:ind w:left="3600" w:hanging="360"/>
      </w:pPr>
      <w:rPr>
        <w:rFonts w:cs="Times New Roman"/>
      </w:rPr>
    </w:lvl>
    <w:lvl w:ilvl="5" w:tplc="040D001B">
      <w:start w:val="1"/>
      <w:numFmt w:val="decimal"/>
      <w:lvlText w:val="%6."/>
      <w:lvlJc w:val="left"/>
      <w:pPr>
        <w:tabs>
          <w:tab w:val="num" w:pos="4320"/>
        </w:tabs>
        <w:ind w:left="4320" w:hanging="360"/>
      </w:pPr>
      <w:rPr>
        <w:rFonts w:cs="Times New Roman"/>
      </w:rPr>
    </w:lvl>
    <w:lvl w:ilvl="6" w:tplc="040D000F">
      <w:start w:val="1"/>
      <w:numFmt w:val="decimal"/>
      <w:lvlText w:val="%7."/>
      <w:lvlJc w:val="left"/>
      <w:pPr>
        <w:tabs>
          <w:tab w:val="num" w:pos="5040"/>
        </w:tabs>
        <w:ind w:left="5040" w:hanging="360"/>
      </w:pPr>
      <w:rPr>
        <w:rFonts w:cs="Times New Roman"/>
      </w:rPr>
    </w:lvl>
    <w:lvl w:ilvl="7" w:tplc="040D0019">
      <w:start w:val="1"/>
      <w:numFmt w:val="decimal"/>
      <w:lvlText w:val="%8."/>
      <w:lvlJc w:val="left"/>
      <w:pPr>
        <w:tabs>
          <w:tab w:val="num" w:pos="5760"/>
        </w:tabs>
        <w:ind w:left="5760" w:hanging="360"/>
      </w:pPr>
      <w:rPr>
        <w:rFonts w:cs="Times New Roman"/>
      </w:rPr>
    </w:lvl>
    <w:lvl w:ilvl="8" w:tplc="040D001B">
      <w:start w:val="1"/>
      <w:numFmt w:val="decimal"/>
      <w:lvlText w:val="%9."/>
      <w:lvlJc w:val="left"/>
      <w:pPr>
        <w:tabs>
          <w:tab w:val="num" w:pos="6480"/>
        </w:tabs>
        <w:ind w:left="6480" w:hanging="360"/>
      </w:pPr>
      <w:rPr>
        <w:rFonts w:cs="Times New Roman"/>
      </w:rPr>
    </w:lvl>
  </w:abstractNum>
  <w:abstractNum w:abstractNumId="14"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0"/>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3E4CC6"/>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14BE"/>
    <w:rsid w:val="00763CAA"/>
    <w:rsid w:val="00765F66"/>
    <w:rsid w:val="0078664F"/>
    <w:rsid w:val="007A27CE"/>
    <w:rsid w:val="007C15FF"/>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835E1"/>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060BB"/>
    <w:rsid w:val="00C23B1A"/>
    <w:rsid w:val="00C310EB"/>
    <w:rsid w:val="00C9176A"/>
    <w:rsid w:val="00CF1AA2"/>
    <w:rsid w:val="00D142D3"/>
    <w:rsid w:val="00D17774"/>
    <w:rsid w:val="00D63620"/>
    <w:rsid w:val="00D8410D"/>
    <w:rsid w:val="00D867D7"/>
    <w:rsid w:val="00DB7060"/>
    <w:rsid w:val="00DE3153"/>
    <w:rsid w:val="00E06736"/>
    <w:rsid w:val="00E13C27"/>
    <w:rsid w:val="00E2067A"/>
    <w:rsid w:val="00E33BBD"/>
    <w:rsid w:val="00E374F2"/>
    <w:rsid w:val="00E45103"/>
    <w:rsid w:val="00E55A60"/>
    <w:rsid w:val="00E62778"/>
    <w:rsid w:val="00E635A2"/>
    <w:rsid w:val="00E63D38"/>
    <w:rsid w:val="00E665B9"/>
    <w:rsid w:val="00E66A15"/>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ABE796E-9840-45CA-B251-ACBF25F7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45284-4D83-4E75-8864-9F4BFCFD7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8161EB1A-83A5-4334-AC05-7E443AFE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857</Words>
  <Characters>4888</Characters>
  <Application>Microsoft Office Word</Application>
  <DocSecurity>0</DocSecurity>
  <Lines>40</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9</cp:revision>
  <cp:lastPrinted>2013-07-04T08:25:00Z</cp:lastPrinted>
  <dcterms:created xsi:type="dcterms:W3CDTF">2015-04-20T09:58:00Z</dcterms:created>
  <dcterms:modified xsi:type="dcterms:W3CDTF">2020-06-04T10:44:00Z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2088119</vt:r8>
  </property>
</Properties>
</file>