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2086037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ושלוש</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יאיר לפיד</w:t>
      </w:r>
      <w:r>
        <w:br/>
      </w:r>
      <w:r>
        <w:rPr>
          <w:rFonts w:hint="cs"/>
          <w:b/>
          <w:bCs/>
          <w:rtl/>
        </w:rPr>
        <w:t xml:space="preserve"> </w:t>
      </w:r>
      <w:r>
        <w:tab/>
      </w:r>
      <w:r>
        <w:tab/>
      </w:r>
      <w:r>
        <w:tab/>
      </w:r>
      <w:r>
        <w:tab/>
      </w:r>
      <w:r>
        <w:rPr>
          <w:rFonts w:hint="cs"/>
          <w:b/>
          <w:bCs/>
          <w:rtl/>
        </w:rPr>
        <w:t>אורנה ברביבאי</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יואב סגלוביץ'</w:t>
      </w:r>
      <w:r>
        <w:br/>
      </w:r>
      <w:r>
        <w:rPr>
          <w:rFonts w:hint="cs"/>
          <w:b/>
          <w:bCs/>
          <w:rtl/>
        </w:rPr>
        <w:t xml:space="preserve"> </w:t>
      </w:r>
      <w:r>
        <w:tab/>
      </w:r>
      <w:r>
        <w:tab/>
      </w:r>
      <w:r>
        <w:tab/>
      </w:r>
      <w:r>
        <w:tab/>
      </w:r>
      <w:r>
        <w:rPr>
          <w:rFonts w:hint="cs"/>
          <w:b/>
          <w:bCs/>
          <w:rtl/>
        </w:rPr>
        <w:t>בועז טופורובסקי</w:t>
      </w:r>
      <w:r>
        <w:br/>
      </w:r>
      <w:r>
        <w:rPr>
          <w:rFonts w:hint="cs"/>
          <w:b/>
          <w:bCs/>
          <w:rtl/>
        </w:rPr>
        <w:t xml:space="preserve"> </w:t>
      </w:r>
      <w:r>
        <w:tab/>
      </w:r>
      <w:r>
        <w:tab/>
      </w:r>
      <w:r>
        <w:tab/>
      </w:r>
      <w:r>
        <w:tab/>
      </w:r>
      <w:r>
        <w:rPr>
          <w:rFonts w:hint="cs"/>
          <w:b/>
          <w:bCs/>
          <w:rtl/>
        </w:rPr>
        <w:t>יואל רזבוזוב</w:t>
      </w:r>
      <w:r>
        <w:br/>
      </w:r>
      <w:r>
        <w:rPr>
          <w:rFonts w:hint="cs"/>
          <w:b/>
          <w:bCs/>
          <w:rtl/>
        </w:rPr>
        <w:t xml:space="preserve"> </w:t>
      </w:r>
      <w:r>
        <w:tab/>
      </w:r>
      <w:r>
        <w:tab/>
      </w:r>
      <w:r>
        <w:tab/>
      </w:r>
      <w:r>
        <w:tab/>
      </w:r>
      <w:r>
        <w:rPr>
          <w:rFonts w:hint="cs"/>
          <w:b/>
          <w:bCs/>
          <w:rtl/>
        </w:rPr>
        <w:t>אלעזר שטרן</w:t>
      </w:r>
      <w:r>
        <w:br/>
      </w:r>
      <w:r>
        <w:rPr>
          <w:rFonts w:hint="cs"/>
          <w:b/>
          <w:bCs/>
          <w:rtl/>
        </w:rPr>
        <w:t xml:space="preserve"> </w:t>
      </w:r>
      <w:r>
        <w:tab/>
      </w:r>
      <w:r>
        <w:tab/>
      </w:r>
      <w:r>
        <w:tab/>
      </w:r>
      <w:r>
        <w:tab/>
      </w:r>
      <w:r>
        <w:rPr>
          <w:rFonts w:hint="cs"/>
          <w:b/>
          <w:bCs/>
          <w:rtl/>
        </w:rPr>
        <w:t>רם בן ברק</w:t>
      </w:r>
      <w:bookmarkEnd w:id="3"/>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4EDAC80C" w:rsidR="00E13C27" w:rsidRPr="00E06736" w:rsidRDefault="00904591" w:rsidP="00EF52BD">
      <w:pPr>
        <w:pStyle w:val="David"/>
        <w:spacing w:before="0" w:line="240" w:lineRule="auto"/>
        <w:ind w:left="3544"/>
        <w:rPr>
          <w:rtl/>
        </w:rPr>
      </w:pPr>
      <w:r>
        <w:t xml:space="preserve"> </w:t>
      </w:r>
      <w:bookmarkStart w:id="4" w:name="Private_Number"/>
      <w:r w:rsidR="00EF52BD">
        <w:rPr>
          <w:rtl/>
        </w:rPr>
        <w:tab/>
      </w:r>
      <w:r w:rsidR="00EF52BD">
        <w:rPr>
          <w:rtl/>
        </w:rPr>
        <w:tab/>
      </w:r>
      <w:r w:rsidR="00EF52BD">
        <w:rPr>
          <w:rtl/>
        </w:rPr>
        <w:tab/>
      </w:r>
      <w:r w:rsidR="00EF52BD">
        <w:rPr>
          <w:rtl/>
        </w:rPr>
        <w:tab/>
      </w:r>
      <w:r>
        <w:rPr>
          <w:rFonts w:hint="cs"/>
          <w:rtl/>
        </w:rPr>
        <w:t>פ/1051/23</w:t>
      </w:r>
      <w:bookmarkEnd w:id="4"/>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1633A">
      <w:pPr>
        <w:pStyle w:val="HeadHatzaotHok"/>
        <w:rPr>
          <w:rtl/>
        </w:rPr>
      </w:pPr>
      <w:bookmarkStart w:id="5" w:name="LGS_Subject"/>
      <w:r>
        <w:rPr>
          <w:rFonts w:hint="cs"/>
          <w:rtl/>
        </w:rPr>
        <w:t>הצעת חוק איסור כספים קואליציוניים, התש"ף–2020</w:t>
      </w:r>
      <w:bookmarkEnd w:id="5"/>
    </w:p>
    <w:p w14:paraId="40FC22B6" w14:textId="77777777" w:rsidR="00EC6FB7" w:rsidRDefault="00EC6FB7" w:rsidP="00EC6FB7">
      <w:pPr>
        <w:pStyle w:val="HeadDivreiHesber"/>
        <w:spacing w:before="0" w:after="0"/>
        <w:rPr>
          <w:rtl/>
        </w:rPr>
      </w:pPr>
    </w:p>
    <w:tbl>
      <w:tblPr>
        <w:bidiVisual/>
        <w:tblW w:w="9641" w:type="dxa"/>
        <w:tblLayout w:type="fixed"/>
        <w:tblCellMar>
          <w:top w:w="57" w:type="dxa"/>
          <w:left w:w="0" w:type="dxa"/>
          <w:bottom w:w="57" w:type="dxa"/>
          <w:right w:w="0" w:type="dxa"/>
        </w:tblCellMar>
        <w:tblLook w:val="0000" w:firstRow="0" w:lastRow="0" w:firstColumn="0" w:lastColumn="0" w:noHBand="0" w:noVBand="0"/>
      </w:tblPr>
      <w:tblGrid>
        <w:gridCol w:w="1871"/>
        <w:gridCol w:w="624"/>
        <w:gridCol w:w="7146"/>
      </w:tblGrid>
      <w:tr w:rsidR="00EC6FB7" w:rsidRPr="00BA3758" w14:paraId="2B87FB0C" w14:textId="77777777" w:rsidTr="00C17934">
        <w:trPr>
          <w:cantSplit/>
        </w:trPr>
        <w:tc>
          <w:tcPr>
            <w:tcW w:w="1871" w:type="dxa"/>
            <w:tcBorders>
              <w:top w:val="nil"/>
              <w:left w:val="nil"/>
              <w:bottom w:val="nil"/>
              <w:right w:val="nil"/>
            </w:tcBorders>
          </w:tcPr>
          <w:p w14:paraId="23CC87D2" w14:textId="77777777" w:rsidR="00EC6FB7" w:rsidRPr="004F5687" w:rsidRDefault="00EC6FB7" w:rsidP="00C17934">
            <w:pPr>
              <w:pStyle w:val="TableSideHeading"/>
              <w:ind w:right="0"/>
              <w:rPr>
                <w:sz w:val="26"/>
              </w:rPr>
            </w:pPr>
            <w:r w:rsidRPr="004F5687">
              <w:rPr>
                <w:sz w:val="26"/>
                <w:rtl/>
              </w:rPr>
              <w:t>מטרה</w:t>
            </w:r>
          </w:p>
        </w:tc>
        <w:tc>
          <w:tcPr>
            <w:tcW w:w="624" w:type="dxa"/>
            <w:tcBorders>
              <w:top w:val="nil"/>
              <w:left w:val="nil"/>
              <w:bottom w:val="nil"/>
              <w:right w:val="nil"/>
            </w:tcBorders>
          </w:tcPr>
          <w:p w14:paraId="788345BF" w14:textId="77777777" w:rsidR="00EC6FB7" w:rsidRPr="004F5687" w:rsidRDefault="00EC6FB7" w:rsidP="00C17934">
            <w:pPr>
              <w:pStyle w:val="TableText"/>
              <w:ind w:right="0"/>
              <w:jc w:val="both"/>
              <w:rPr>
                <w:sz w:val="26"/>
              </w:rPr>
            </w:pPr>
            <w:r w:rsidRPr="004F5687">
              <w:rPr>
                <w:sz w:val="26"/>
                <w:rtl/>
              </w:rPr>
              <w:t xml:space="preserve">1. </w:t>
            </w:r>
          </w:p>
        </w:tc>
        <w:tc>
          <w:tcPr>
            <w:tcW w:w="7146" w:type="dxa"/>
            <w:tcBorders>
              <w:top w:val="nil"/>
              <w:left w:val="nil"/>
              <w:bottom w:val="nil"/>
              <w:right w:val="nil"/>
            </w:tcBorders>
          </w:tcPr>
          <w:p w14:paraId="5F17B502" w14:textId="77777777" w:rsidR="00EC6FB7" w:rsidRPr="004F5687" w:rsidRDefault="00EC6FB7" w:rsidP="00C17934">
            <w:pPr>
              <w:pStyle w:val="TableBlock"/>
              <w:rPr>
                <w:sz w:val="26"/>
              </w:rPr>
            </w:pPr>
            <w:r w:rsidRPr="004F5687">
              <w:rPr>
                <w:sz w:val="26"/>
                <w:rtl/>
              </w:rPr>
              <w:t>מטרת חוק זה היא למנוע הסכמים פוליטיים תקציביים הכרוכים ב</w:t>
            </w:r>
            <w:r>
              <w:rPr>
                <w:rFonts w:hint="cs"/>
                <w:sz w:val="26"/>
                <w:rtl/>
              </w:rPr>
              <w:t>קידום אינטרסים</w:t>
            </w:r>
            <w:r>
              <w:rPr>
                <w:sz w:val="26"/>
                <w:rtl/>
              </w:rPr>
              <w:t xml:space="preserve"> אישי</w:t>
            </w:r>
            <w:r>
              <w:rPr>
                <w:rFonts w:hint="cs"/>
                <w:sz w:val="26"/>
                <w:rtl/>
              </w:rPr>
              <w:t>ים או פוליטיים</w:t>
            </w:r>
            <w:r w:rsidRPr="004F5687">
              <w:rPr>
                <w:sz w:val="26"/>
                <w:rtl/>
              </w:rPr>
              <w:t xml:space="preserve"> למתקשר, למפלגה או לגוף </w:t>
            </w:r>
            <w:r>
              <w:rPr>
                <w:rFonts w:hint="cs"/>
                <w:sz w:val="26"/>
                <w:rtl/>
              </w:rPr>
              <w:t>ש</w:t>
            </w:r>
            <w:r w:rsidRPr="004F5687">
              <w:rPr>
                <w:sz w:val="26"/>
                <w:rtl/>
              </w:rPr>
              <w:t>הוא מייצג.</w:t>
            </w:r>
          </w:p>
        </w:tc>
      </w:tr>
      <w:tr w:rsidR="00EC6FB7" w:rsidRPr="00BA3758" w14:paraId="666E6F03" w14:textId="77777777" w:rsidTr="00C17934">
        <w:trPr>
          <w:cantSplit/>
        </w:trPr>
        <w:tc>
          <w:tcPr>
            <w:tcW w:w="1871" w:type="dxa"/>
            <w:tcBorders>
              <w:top w:val="nil"/>
              <w:left w:val="nil"/>
              <w:bottom w:val="nil"/>
              <w:right w:val="nil"/>
            </w:tcBorders>
          </w:tcPr>
          <w:p w14:paraId="1AB6D5BA" w14:textId="77777777" w:rsidR="00EC6FB7" w:rsidRPr="004F5687" w:rsidRDefault="00EC6FB7" w:rsidP="00C17934">
            <w:pPr>
              <w:pStyle w:val="TableSideHeading"/>
              <w:rPr>
                <w:sz w:val="26"/>
              </w:rPr>
            </w:pPr>
            <w:r w:rsidRPr="004F5687">
              <w:rPr>
                <w:sz w:val="26"/>
                <w:rtl/>
              </w:rPr>
              <w:t>הגדרות</w:t>
            </w:r>
          </w:p>
        </w:tc>
        <w:tc>
          <w:tcPr>
            <w:tcW w:w="624" w:type="dxa"/>
            <w:tcBorders>
              <w:top w:val="nil"/>
              <w:left w:val="nil"/>
              <w:bottom w:val="nil"/>
              <w:right w:val="nil"/>
            </w:tcBorders>
          </w:tcPr>
          <w:p w14:paraId="7331F64B" w14:textId="77777777" w:rsidR="00EC6FB7" w:rsidRPr="004F5687" w:rsidRDefault="00EC6FB7" w:rsidP="00C17934">
            <w:pPr>
              <w:pStyle w:val="TableText"/>
              <w:rPr>
                <w:sz w:val="26"/>
              </w:rPr>
            </w:pPr>
            <w:r w:rsidRPr="004F5687">
              <w:rPr>
                <w:sz w:val="26"/>
                <w:rtl/>
              </w:rPr>
              <w:t>2.</w:t>
            </w:r>
          </w:p>
        </w:tc>
        <w:tc>
          <w:tcPr>
            <w:tcW w:w="7146" w:type="dxa"/>
            <w:tcBorders>
              <w:top w:val="nil"/>
              <w:left w:val="nil"/>
              <w:bottom w:val="nil"/>
              <w:right w:val="nil"/>
            </w:tcBorders>
          </w:tcPr>
          <w:p w14:paraId="5EC27E26" w14:textId="77777777" w:rsidR="00EC6FB7" w:rsidRPr="004F5687" w:rsidRDefault="00EC6FB7" w:rsidP="00C17934">
            <w:pPr>
              <w:pStyle w:val="TableBlock"/>
              <w:rPr>
                <w:sz w:val="26"/>
              </w:rPr>
            </w:pPr>
            <w:r w:rsidRPr="004F5687">
              <w:rPr>
                <w:sz w:val="26"/>
                <w:rtl/>
              </w:rPr>
              <w:t>בחוק זה –</w:t>
            </w:r>
            <w:r w:rsidRPr="004F5687">
              <w:rPr>
                <w:sz w:val="26"/>
              </w:rPr>
              <w:t xml:space="preserve"> </w:t>
            </w:r>
          </w:p>
        </w:tc>
      </w:tr>
      <w:tr w:rsidR="00EC6FB7" w:rsidRPr="00BA3758" w14:paraId="48A8220D" w14:textId="77777777" w:rsidTr="00C17934">
        <w:trPr>
          <w:cantSplit/>
        </w:trPr>
        <w:tc>
          <w:tcPr>
            <w:tcW w:w="1871" w:type="dxa"/>
            <w:tcBorders>
              <w:top w:val="nil"/>
              <w:left w:val="nil"/>
              <w:bottom w:val="nil"/>
              <w:right w:val="nil"/>
            </w:tcBorders>
          </w:tcPr>
          <w:p w14:paraId="35A5C5EB" w14:textId="77777777" w:rsidR="00EC6FB7" w:rsidRPr="004F5687" w:rsidRDefault="00EC6FB7" w:rsidP="00C17934">
            <w:pPr>
              <w:pStyle w:val="TableSideHeading"/>
              <w:rPr>
                <w:sz w:val="26"/>
                <w:rtl/>
              </w:rPr>
            </w:pPr>
          </w:p>
        </w:tc>
        <w:tc>
          <w:tcPr>
            <w:tcW w:w="624" w:type="dxa"/>
            <w:tcBorders>
              <w:top w:val="nil"/>
              <w:left w:val="nil"/>
              <w:bottom w:val="nil"/>
              <w:right w:val="nil"/>
            </w:tcBorders>
          </w:tcPr>
          <w:p w14:paraId="33A69D91" w14:textId="77777777" w:rsidR="00EC6FB7" w:rsidRPr="004F5687" w:rsidRDefault="00EC6FB7" w:rsidP="00C17934">
            <w:pPr>
              <w:pStyle w:val="TableText"/>
              <w:rPr>
                <w:rtl/>
              </w:rPr>
            </w:pPr>
          </w:p>
        </w:tc>
        <w:tc>
          <w:tcPr>
            <w:tcW w:w="7146" w:type="dxa"/>
            <w:tcBorders>
              <w:top w:val="nil"/>
              <w:left w:val="nil"/>
              <w:bottom w:val="nil"/>
              <w:right w:val="nil"/>
            </w:tcBorders>
          </w:tcPr>
          <w:p w14:paraId="19F78B4F" w14:textId="77777777" w:rsidR="00EC6FB7" w:rsidRPr="00E571B9" w:rsidRDefault="00EC6FB7" w:rsidP="00C17934">
            <w:pPr>
              <w:pStyle w:val="TableBlockOutdent"/>
              <w:rPr>
                <w:rtl/>
              </w:rPr>
            </w:pPr>
            <w:r w:rsidRPr="00E571B9">
              <w:rPr>
                <w:rtl/>
              </w:rPr>
              <w:t>"הסכם בין משרדים לאישור חוק התקציב"</w:t>
            </w:r>
            <w:r w:rsidRPr="00E571B9">
              <w:rPr>
                <w:rFonts w:hint="cs"/>
                <w:rtl/>
              </w:rPr>
              <w:t xml:space="preserve"> –</w:t>
            </w:r>
            <w:r w:rsidRPr="00E571B9">
              <w:rPr>
                <w:rtl/>
              </w:rPr>
              <w:t xml:space="preserve"> הסכם בין </w:t>
            </w:r>
            <w:r w:rsidRPr="00E571B9">
              <w:rPr>
                <w:rFonts w:hint="cs"/>
                <w:rtl/>
              </w:rPr>
              <w:t>המנהל הכללי של</w:t>
            </w:r>
            <w:r w:rsidRPr="00E571B9">
              <w:rPr>
                <w:rtl/>
              </w:rPr>
              <w:t xml:space="preserve"> משרד ראש הממשלה או </w:t>
            </w:r>
            <w:r w:rsidRPr="00E571B9">
              <w:rPr>
                <w:rFonts w:hint="cs"/>
                <w:rtl/>
              </w:rPr>
              <w:t xml:space="preserve">המנהל הכללי של </w:t>
            </w:r>
            <w:r w:rsidRPr="00E571B9">
              <w:rPr>
                <w:rtl/>
              </w:rPr>
              <w:t>משרד האוצר</w:t>
            </w:r>
            <w:r w:rsidRPr="00E571B9">
              <w:rPr>
                <w:rFonts w:hint="cs"/>
                <w:rtl/>
              </w:rPr>
              <w:t>,</w:t>
            </w:r>
            <w:r w:rsidRPr="00E571B9">
              <w:rPr>
                <w:rtl/>
              </w:rPr>
              <w:t xml:space="preserve"> </w:t>
            </w:r>
            <w:r w:rsidRPr="00E571B9">
              <w:rPr>
                <w:rFonts w:hint="cs"/>
                <w:rtl/>
              </w:rPr>
              <w:t xml:space="preserve">ובין המנהל הכללי של </w:t>
            </w:r>
            <w:r w:rsidRPr="00E571B9">
              <w:rPr>
                <w:rtl/>
              </w:rPr>
              <w:t>משרד ממשלתי</w:t>
            </w:r>
            <w:r w:rsidRPr="00E571B9">
              <w:rPr>
                <w:rFonts w:hint="cs"/>
                <w:rtl/>
              </w:rPr>
              <w:t>,</w:t>
            </w:r>
            <w:r w:rsidRPr="00E571B9">
              <w:rPr>
                <w:rtl/>
              </w:rPr>
              <w:t xml:space="preserve"> או מי מטעמם</w:t>
            </w:r>
            <w:r w:rsidRPr="00E571B9">
              <w:rPr>
                <w:rFonts w:hint="cs"/>
                <w:rtl/>
              </w:rPr>
              <w:t>,</w:t>
            </w:r>
            <w:r w:rsidRPr="00E571B9">
              <w:rPr>
                <w:rtl/>
              </w:rPr>
              <w:t xml:space="preserve"> ובו מפורט תקציב המשרד </w:t>
            </w:r>
            <w:r w:rsidRPr="00E571B9">
              <w:rPr>
                <w:rFonts w:hint="cs"/>
                <w:rtl/>
              </w:rPr>
              <w:t xml:space="preserve">הממשלתי </w:t>
            </w:r>
            <w:r w:rsidRPr="00E571B9">
              <w:rPr>
                <w:rtl/>
              </w:rPr>
              <w:t>לשנת הכספים, סדרי העדיפויות של המשרד בחלוקת הכספים, שינוי</w:t>
            </w:r>
            <w:r w:rsidRPr="00E571B9">
              <w:rPr>
                <w:rFonts w:hint="cs"/>
                <w:rtl/>
              </w:rPr>
              <w:t>י</w:t>
            </w:r>
            <w:r>
              <w:rPr>
                <w:rtl/>
              </w:rPr>
              <w:t xml:space="preserve"> חקיקה מתוכננים ות</w:t>
            </w:r>
            <w:r w:rsidRPr="00E571B9">
              <w:rPr>
                <w:rtl/>
              </w:rPr>
              <w:t>כניות העבודה של המשרד</w:t>
            </w:r>
            <w:r>
              <w:rPr>
                <w:rFonts w:hint="cs"/>
                <w:rtl/>
              </w:rPr>
              <w:t>;</w:t>
            </w:r>
          </w:p>
        </w:tc>
      </w:tr>
      <w:tr w:rsidR="00EC6FB7" w:rsidRPr="00BA3758" w14:paraId="19EF15D1" w14:textId="77777777" w:rsidTr="00C17934">
        <w:trPr>
          <w:cantSplit/>
        </w:trPr>
        <w:tc>
          <w:tcPr>
            <w:tcW w:w="1871" w:type="dxa"/>
            <w:tcBorders>
              <w:top w:val="nil"/>
              <w:left w:val="nil"/>
              <w:bottom w:val="nil"/>
              <w:right w:val="nil"/>
            </w:tcBorders>
          </w:tcPr>
          <w:p w14:paraId="752F2A15" w14:textId="77777777" w:rsidR="00EC6FB7" w:rsidRPr="004F5687" w:rsidRDefault="00EC6FB7" w:rsidP="00C17934">
            <w:pPr>
              <w:pStyle w:val="TableSideHeading"/>
              <w:rPr>
                <w:sz w:val="26"/>
              </w:rPr>
            </w:pPr>
          </w:p>
        </w:tc>
        <w:tc>
          <w:tcPr>
            <w:tcW w:w="624" w:type="dxa"/>
            <w:tcBorders>
              <w:top w:val="nil"/>
              <w:left w:val="nil"/>
              <w:bottom w:val="nil"/>
              <w:right w:val="nil"/>
            </w:tcBorders>
          </w:tcPr>
          <w:p w14:paraId="2D6E4DE8" w14:textId="77777777" w:rsidR="00EC6FB7" w:rsidRPr="004F5687" w:rsidRDefault="00EC6FB7" w:rsidP="00C17934">
            <w:pPr>
              <w:pStyle w:val="TableText"/>
              <w:rPr>
                <w:sz w:val="26"/>
              </w:rPr>
            </w:pPr>
          </w:p>
        </w:tc>
        <w:tc>
          <w:tcPr>
            <w:tcW w:w="7146" w:type="dxa"/>
            <w:tcBorders>
              <w:top w:val="nil"/>
              <w:left w:val="nil"/>
              <w:bottom w:val="nil"/>
              <w:right w:val="nil"/>
            </w:tcBorders>
          </w:tcPr>
          <w:p w14:paraId="7BAF94DE" w14:textId="77777777" w:rsidR="00EC6FB7" w:rsidRPr="004F5687" w:rsidRDefault="00EC6FB7" w:rsidP="00C17934">
            <w:pPr>
              <w:pStyle w:val="TableBlockOutdent"/>
              <w:rPr>
                <w:sz w:val="26"/>
              </w:rPr>
            </w:pPr>
            <w:r w:rsidRPr="004F5687">
              <w:rPr>
                <w:sz w:val="26"/>
                <w:rtl/>
              </w:rPr>
              <w:t>"הסכם בין סיעות הקואליציה"</w:t>
            </w:r>
            <w:r>
              <w:rPr>
                <w:rFonts w:hint="cs"/>
                <w:sz w:val="26"/>
                <w:rtl/>
              </w:rPr>
              <w:t xml:space="preserve"> –</w:t>
            </w:r>
            <w:r w:rsidRPr="004F5687">
              <w:rPr>
                <w:sz w:val="26"/>
                <w:rtl/>
              </w:rPr>
              <w:t xml:space="preserve"> הסכם בעל משמעות תקציבי</w:t>
            </w:r>
            <w:r w:rsidRPr="004F5687">
              <w:rPr>
                <w:rFonts w:hint="eastAsia"/>
                <w:sz w:val="26"/>
                <w:rtl/>
              </w:rPr>
              <w:t>ת</w:t>
            </w:r>
            <w:r w:rsidRPr="004F5687">
              <w:rPr>
                <w:sz w:val="26"/>
                <w:rtl/>
              </w:rPr>
              <w:t xml:space="preserve"> שעורכות הסיעות לקראת הקמת הממשלה או בעקבות שינוי במבנה הממשלה</w:t>
            </w:r>
            <w:r>
              <w:rPr>
                <w:rFonts w:hint="cs"/>
                <w:sz w:val="26"/>
                <w:rtl/>
              </w:rPr>
              <w:t>;</w:t>
            </w:r>
          </w:p>
        </w:tc>
      </w:tr>
      <w:tr w:rsidR="00EC6FB7" w:rsidRPr="00BA3758" w14:paraId="6BFBC982" w14:textId="77777777" w:rsidTr="00C17934">
        <w:trPr>
          <w:cantSplit/>
        </w:trPr>
        <w:tc>
          <w:tcPr>
            <w:tcW w:w="1871" w:type="dxa"/>
            <w:tcBorders>
              <w:top w:val="nil"/>
              <w:left w:val="nil"/>
              <w:bottom w:val="nil"/>
              <w:right w:val="nil"/>
            </w:tcBorders>
          </w:tcPr>
          <w:p w14:paraId="0424AE7F" w14:textId="77777777" w:rsidR="00EC6FB7" w:rsidRPr="004F5687" w:rsidRDefault="00EC6FB7" w:rsidP="00C17934">
            <w:pPr>
              <w:pStyle w:val="TableSideHeading"/>
              <w:rPr>
                <w:sz w:val="26"/>
              </w:rPr>
            </w:pPr>
          </w:p>
        </w:tc>
        <w:tc>
          <w:tcPr>
            <w:tcW w:w="624" w:type="dxa"/>
            <w:tcBorders>
              <w:top w:val="nil"/>
              <w:left w:val="nil"/>
              <w:bottom w:val="nil"/>
              <w:right w:val="nil"/>
            </w:tcBorders>
          </w:tcPr>
          <w:p w14:paraId="0E470120" w14:textId="77777777" w:rsidR="00EC6FB7" w:rsidRPr="004F5687" w:rsidRDefault="00EC6FB7" w:rsidP="00C17934">
            <w:pPr>
              <w:pStyle w:val="TableText"/>
              <w:rPr>
                <w:sz w:val="26"/>
              </w:rPr>
            </w:pPr>
          </w:p>
        </w:tc>
        <w:tc>
          <w:tcPr>
            <w:tcW w:w="7146" w:type="dxa"/>
            <w:tcBorders>
              <w:top w:val="nil"/>
              <w:left w:val="nil"/>
              <w:bottom w:val="nil"/>
              <w:right w:val="nil"/>
            </w:tcBorders>
          </w:tcPr>
          <w:p w14:paraId="5502EAF0" w14:textId="77777777" w:rsidR="00EC6FB7" w:rsidRPr="004F5687" w:rsidRDefault="00EC6FB7" w:rsidP="00C17934">
            <w:pPr>
              <w:pStyle w:val="TableBlockOutdent"/>
              <w:rPr>
                <w:sz w:val="26"/>
                <w:rtl/>
              </w:rPr>
            </w:pPr>
            <w:r w:rsidRPr="004F5687">
              <w:rPr>
                <w:sz w:val="26"/>
                <w:rtl/>
              </w:rPr>
              <w:t>"הסכם פוליטי תקציבי"</w:t>
            </w:r>
            <w:r>
              <w:rPr>
                <w:rFonts w:hint="cs"/>
                <w:sz w:val="26"/>
                <w:rtl/>
              </w:rPr>
              <w:t xml:space="preserve"> – </w:t>
            </w:r>
            <w:r w:rsidRPr="004F5687">
              <w:rPr>
                <w:sz w:val="26"/>
                <w:rtl/>
              </w:rPr>
              <w:t>הסכם בעל משמעות תקציבית שנערך בין שר האוצר או ראש הממשלה</w:t>
            </w:r>
            <w:r>
              <w:rPr>
                <w:rFonts w:hint="cs"/>
                <w:sz w:val="26"/>
                <w:rtl/>
              </w:rPr>
              <w:t>,</w:t>
            </w:r>
            <w:r w:rsidRPr="004F5687">
              <w:rPr>
                <w:sz w:val="26"/>
                <w:rtl/>
              </w:rPr>
              <w:t xml:space="preserve"> או מי מטעמם</w:t>
            </w:r>
            <w:r>
              <w:rPr>
                <w:rFonts w:hint="cs"/>
                <w:sz w:val="26"/>
                <w:rtl/>
              </w:rPr>
              <w:t>,</w:t>
            </w:r>
            <w:r w:rsidRPr="004F5687">
              <w:rPr>
                <w:sz w:val="26"/>
                <w:rtl/>
              </w:rPr>
              <w:t xml:space="preserve"> עם סיעה מסיעות הכנסת או שר</w:t>
            </w:r>
            <w:r>
              <w:rPr>
                <w:rFonts w:hint="cs"/>
                <w:sz w:val="26"/>
                <w:rtl/>
              </w:rPr>
              <w:t xml:space="preserve">, </w:t>
            </w:r>
            <w:r w:rsidRPr="004F5687">
              <w:rPr>
                <w:sz w:val="26"/>
                <w:rtl/>
              </w:rPr>
              <w:t xml:space="preserve">בנוגע לתחום אחריות </w:t>
            </w:r>
            <w:r>
              <w:rPr>
                <w:rFonts w:hint="cs"/>
                <w:sz w:val="26"/>
                <w:rtl/>
              </w:rPr>
              <w:t>ש</w:t>
            </w:r>
            <w:r w:rsidRPr="004F5687">
              <w:rPr>
                <w:sz w:val="26"/>
                <w:rtl/>
              </w:rPr>
              <w:t>אינו נוגע לתחום שהוא מופקד עליו כשר</w:t>
            </w:r>
            <w:r>
              <w:rPr>
                <w:rFonts w:hint="cs"/>
                <w:sz w:val="26"/>
                <w:rtl/>
              </w:rPr>
              <w:t>;</w:t>
            </w:r>
            <w:r w:rsidRPr="004F5687">
              <w:rPr>
                <w:sz w:val="26"/>
                <w:rtl/>
              </w:rPr>
              <w:t xml:space="preserve"> </w:t>
            </w:r>
          </w:p>
        </w:tc>
      </w:tr>
      <w:tr w:rsidR="00EC6FB7" w:rsidRPr="00BA3758" w14:paraId="4BAEFA71" w14:textId="77777777" w:rsidTr="00C17934">
        <w:trPr>
          <w:cantSplit/>
        </w:trPr>
        <w:tc>
          <w:tcPr>
            <w:tcW w:w="1871" w:type="dxa"/>
            <w:tcBorders>
              <w:left w:val="nil"/>
              <w:right w:val="nil"/>
            </w:tcBorders>
          </w:tcPr>
          <w:p w14:paraId="356E75A4" w14:textId="77777777" w:rsidR="00EC6FB7" w:rsidRPr="004F5687" w:rsidRDefault="00EC6FB7" w:rsidP="00C17934">
            <w:pPr>
              <w:pStyle w:val="TableSideHeading"/>
              <w:rPr>
                <w:sz w:val="26"/>
                <w:rtl/>
              </w:rPr>
            </w:pPr>
            <w:r w:rsidRPr="004F5687">
              <w:rPr>
                <w:sz w:val="26"/>
                <w:rtl/>
              </w:rPr>
              <w:t>הסכם פוליטי תקציבי</w:t>
            </w:r>
          </w:p>
        </w:tc>
        <w:tc>
          <w:tcPr>
            <w:tcW w:w="624" w:type="dxa"/>
            <w:tcBorders>
              <w:left w:val="nil"/>
              <w:right w:val="nil"/>
            </w:tcBorders>
          </w:tcPr>
          <w:p w14:paraId="69A3E054" w14:textId="77777777" w:rsidR="00EC6FB7" w:rsidRPr="004F5687" w:rsidRDefault="00EC6FB7" w:rsidP="00C17934">
            <w:pPr>
              <w:pStyle w:val="TableText"/>
              <w:rPr>
                <w:sz w:val="26"/>
                <w:rtl/>
              </w:rPr>
            </w:pPr>
            <w:r w:rsidRPr="004F5687">
              <w:rPr>
                <w:sz w:val="26"/>
                <w:rtl/>
              </w:rPr>
              <w:t>3.</w:t>
            </w:r>
          </w:p>
        </w:tc>
        <w:tc>
          <w:tcPr>
            <w:tcW w:w="7146" w:type="dxa"/>
            <w:tcBorders>
              <w:left w:val="nil"/>
              <w:right w:val="nil"/>
            </w:tcBorders>
          </w:tcPr>
          <w:p w14:paraId="4EE1E8DB" w14:textId="77777777" w:rsidR="00EC6FB7" w:rsidRPr="004F5687" w:rsidRDefault="00EC6FB7" w:rsidP="00C17934">
            <w:pPr>
              <w:pStyle w:val="TableText"/>
              <w:jc w:val="both"/>
              <w:rPr>
                <w:sz w:val="26"/>
                <w:rtl/>
              </w:rPr>
            </w:pPr>
            <w:r w:rsidRPr="004F5687">
              <w:rPr>
                <w:sz w:val="26"/>
                <w:rtl/>
              </w:rPr>
              <w:t>(א)</w:t>
            </w:r>
            <w:r w:rsidRPr="004F5687">
              <w:rPr>
                <w:sz w:val="26"/>
                <w:rtl/>
              </w:rPr>
              <w:tab/>
              <w:t>לא ייערך, בעת הקמת הממשלה או לצורך אישור תקציב</w:t>
            </w:r>
            <w:r>
              <w:rPr>
                <w:rFonts w:hint="cs"/>
                <w:sz w:val="26"/>
                <w:rtl/>
              </w:rPr>
              <w:t xml:space="preserve"> המדינה</w:t>
            </w:r>
            <w:r w:rsidRPr="004F5687">
              <w:rPr>
                <w:sz w:val="26"/>
                <w:rtl/>
              </w:rPr>
              <w:t>, הסכם בעל משמ</w:t>
            </w:r>
            <w:r w:rsidRPr="004F5687">
              <w:rPr>
                <w:rFonts w:hint="eastAsia"/>
                <w:sz w:val="26"/>
                <w:rtl/>
              </w:rPr>
              <w:t>ע</w:t>
            </w:r>
            <w:r w:rsidRPr="004F5687">
              <w:rPr>
                <w:sz w:val="26"/>
                <w:rtl/>
              </w:rPr>
              <w:t>ו</w:t>
            </w:r>
            <w:r w:rsidRPr="004F5687">
              <w:rPr>
                <w:rFonts w:hint="eastAsia"/>
                <w:sz w:val="26"/>
                <w:rtl/>
              </w:rPr>
              <w:t>ת</w:t>
            </w:r>
            <w:r w:rsidRPr="004F5687">
              <w:rPr>
                <w:sz w:val="26"/>
                <w:rtl/>
              </w:rPr>
              <w:t xml:space="preserve"> תקציבית בין ראש הממשלה או שר האוצר</w:t>
            </w:r>
            <w:r>
              <w:rPr>
                <w:rFonts w:hint="cs"/>
                <w:sz w:val="26"/>
                <w:rtl/>
              </w:rPr>
              <w:t>,</w:t>
            </w:r>
            <w:r w:rsidRPr="004F5687">
              <w:rPr>
                <w:sz w:val="26"/>
                <w:rtl/>
              </w:rPr>
              <w:t xml:space="preserve"> או מי מטעמם</w:t>
            </w:r>
            <w:r>
              <w:rPr>
                <w:rFonts w:hint="cs"/>
                <w:sz w:val="26"/>
                <w:rtl/>
              </w:rPr>
              <w:t>,</w:t>
            </w:r>
            <w:r w:rsidRPr="004F5687">
              <w:rPr>
                <w:sz w:val="26"/>
                <w:rtl/>
              </w:rPr>
              <w:t xml:space="preserve"> </w:t>
            </w:r>
            <w:r>
              <w:rPr>
                <w:rFonts w:hint="cs"/>
                <w:sz w:val="26"/>
                <w:rtl/>
              </w:rPr>
              <w:t>ו</w:t>
            </w:r>
            <w:r w:rsidRPr="004F5687">
              <w:rPr>
                <w:sz w:val="26"/>
                <w:rtl/>
              </w:rPr>
              <w:t>בין ח</w:t>
            </w:r>
            <w:r w:rsidRPr="004F5687">
              <w:rPr>
                <w:rFonts w:hint="eastAsia"/>
                <w:sz w:val="26"/>
                <w:rtl/>
              </w:rPr>
              <w:t>ב</w:t>
            </w:r>
            <w:r w:rsidRPr="004F5687">
              <w:rPr>
                <w:sz w:val="26"/>
                <w:rtl/>
              </w:rPr>
              <w:t xml:space="preserve">ר </w:t>
            </w:r>
            <w:r>
              <w:rPr>
                <w:rFonts w:hint="cs"/>
                <w:sz w:val="26"/>
                <w:rtl/>
              </w:rPr>
              <w:t>ה</w:t>
            </w:r>
            <w:r w:rsidRPr="004F5687">
              <w:rPr>
                <w:sz w:val="26"/>
                <w:rtl/>
              </w:rPr>
              <w:t xml:space="preserve">כנסת שאינו </w:t>
            </w:r>
            <w:r>
              <w:rPr>
                <w:rFonts w:hint="cs"/>
                <w:sz w:val="26"/>
                <w:rtl/>
              </w:rPr>
              <w:t xml:space="preserve">חבר </w:t>
            </w:r>
            <w:r w:rsidRPr="004F5687">
              <w:rPr>
                <w:sz w:val="26"/>
                <w:rtl/>
              </w:rPr>
              <w:t>בממשלה</w:t>
            </w:r>
            <w:r>
              <w:rPr>
                <w:rFonts w:hint="cs"/>
                <w:sz w:val="26"/>
                <w:rtl/>
              </w:rPr>
              <w:t>.</w:t>
            </w:r>
          </w:p>
        </w:tc>
      </w:tr>
      <w:tr w:rsidR="00EC6FB7" w:rsidRPr="00BA3758" w14:paraId="6CE623A8" w14:textId="77777777" w:rsidTr="00C17934">
        <w:trPr>
          <w:cantSplit/>
        </w:trPr>
        <w:tc>
          <w:tcPr>
            <w:tcW w:w="1871" w:type="dxa"/>
            <w:tcBorders>
              <w:left w:val="nil"/>
              <w:right w:val="nil"/>
            </w:tcBorders>
          </w:tcPr>
          <w:p w14:paraId="12CA9593" w14:textId="77777777" w:rsidR="00EC6FB7" w:rsidRPr="004F5687" w:rsidRDefault="00EC6FB7" w:rsidP="00C17934">
            <w:pPr>
              <w:pStyle w:val="TableSideHeading"/>
              <w:rPr>
                <w:sz w:val="26"/>
              </w:rPr>
            </w:pPr>
          </w:p>
        </w:tc>
        <w:tc>
          <w:tcPr>
            <w:tcW w:w="624" w:type="dxa"/>
            <w:tcBorders>
              <w:left w:val="nil"/>
              <w:right w:val="nil"/>
            </w:tcBorders>
          </w:tcPr>
          <w:p w14:paraId="00D8D7B0" w14:textId="77777777" w:rsidR="00EC6FB7" w:rsidRPr="004F5687" w:rsidRDefault="00EC6FB7" w:rsidP="00C17934">
            <w:pPr>
              <w:pStyle w:val="TableText"/>
              <w:rPr>
                <w:sz w:val="26"/>
              </w:rPr>
            </w:pPr>
          </w:p>
        </w:tc>
        <w:tc>
          <w:tcPr>
            <w:tcW w:w="7146" w:type="dxa"/>
            <w:tcBorders>
              <w:left w:val="nil"/>
              <w:right w:val="nil"/>
            </w:tcBorders>
          </w:tcPr>
          <w:p w14:paraId="19D71FA8" w14:textId="77777777" w:rsidR="00EC6FB7" w:rsidRPr="004F5687" w:rsidRDefault="00EC6FB7" w:rsidP="00C17934">
            <w:pPr>
              <w:pStyle w:val="TableText"/>
              <w:jc w:val="both"/>
            </w:pPr>
            <w:r>
              <w:rPr>
                <w:rFonts w:hint="cs"/>
                <w:sz w:val="26"/>
                <w:rtl/>
              </w:rPr>
              <w:t>(</w:t>
            </w:r>
            <w:r w:rsidRPr="004F5687">
              <w:rPr>
                <w:sz w:val="26"/>
                <w:rtl/>
              </w:rPr>
              <w:t>ב</w:t>
            </w:r>
            <w:r>
              <w:rPr>
                <w:rFonts w:hint="cs"/>
                <w:sz w:val="26"/>
                <w:rtl/>
              </w:rPr>
              <w:t>)</w:t>
            </w:r>
            <w:r>
              <w:rPr>
                <w:sz w:val="26"/>
                <w:rtl/>
              </w:rPr>
              <w:tab/>
            </w:r>
            <w:r w:rsidRPr="004F5687">
              <w:rPr>
                <w:rtl/>
              </w:rPr>
              <w:t>תקציבים שהובטחו במסגרת הסכמים פוליטיים תקציביים או במסגרת הסכמים בין סיעות הקואליציה</w:t>
            </w:r>
            <w:r>
              <w:rPr>
                <w:rFonts w:hint="cs"/>
                <w:rtl/>
              </w:rPr>
              <w:t>,</w:t>
            </w:r>
            <w:r w:rsidRPr="004F5687">
              <w:rPr>
                <w:rtl/>
              </w:rPr>
              <w:t xml:space="preserve"> ישולבו בתקציב המשרד הרלוונטי לפעילות בה יועדו, תחת הפעילות הרלוונטית לאותו משרד. </w:t>
            </w:r>
          </w:p>
        </w:tc>
      </w:tr>
      <w:tr w:rsidR="00EC6FB7" w:rsidRPr="00BA3758" w14:paraId="006794A5" w14:textId="77777777" w:rsidTr="00C17934">
        <w:trPr>
          <w:cantSplit/>
        </w:trPr>
        <w:tc>
          <w:tcPr>
            <w:tcW w:w="1871" w:type="dxa"/>
            <w:tcBorders>
              <w:left w:val="nil"/>
              <w:right w:val="nil"/>
            </w:tcBorders>
          </w:tcPr>
          <w:p w14:paraId="53F2CF24" w14:textId="77777777" w:rsidR="00EC6FB7" w:rsidRPr="004F5687" w:rsidRDefault="00EC6FB7" w:rsidP="00C17934">
            <w:pPr>
              <w:pStyle w:val="TableSideHeading"/>
              <w:rPr>
                <w:sz w:val="26"/>
                <w:rtl/>
              </w:rPr>
            </w:pPr>
          </w:p>
        </w:tc>
        <w:tc>
          <w:tcPr>
            <w:tcW w:w="624" w:type="dxa"/>
            <w:tcBorders>
              <w:left w:val="nil"/>
              <w:right w:val="nil"/>
            </w:tcBorders>
          </w:tcPr>
          <w:p w14:paraId="250177EA" w14:textId="77777777" w:rsidR="00EC6FB7" w:rsidRPr="004F5687" w:rsidRDefault="00EC6FB7" w:rsidP="00C17934">
            <w:pPr>
              <w:pStyle w:val="TableText"/>
              <w:rPr>
                <w:sz w:val="26"/>
                <w:rtl/>
              </w:rPr>
            </w:pPr>
          </w:p>
        </w:tc>
        <w:tc>
          <w:tcPr>
            <w:tcW w:w="7146" w:type="dxa"/>
            <w:tcBorders>
              <w:left w:val="nil"/>
              <w:right w:val="nil"/>
            </w:tcBorders>
          </w:tcPr>
          <w:p w14:paraId="44620BB2" w14:textId="77777777" w:rsidR="00EC6FB7" w:rsidRPr="004F5687" w:rsidRDefault="00EC6FB7" w:rsidP="00C17934">
            <w:pPr>
              <w:pStyle w:val="TableText"/>
              <w:jc w:val="both"/>
              <w:rPr>
                <w:rtl/>
              </w:rPr>
            </w:pPr>
            <w:r>
              <w:rPr>
                <w:rFonts w:hint="cs"/>
                <w:sz w:val="26"/>
                <w:rtl/>
              </w:rPr>
              <w:t>(</w:t>
            </w:r>
            <w:r w:rsidRPr="004F5687">
              <w:rPr>
                <w:sz w:val="26"/>
                <w:rtl/>
              </w:rPr>
              <w:t>ג</w:t>
            </w:r>
            <w:r>
              <w:rPr>
                <w:rFonts w:hint="cs"/>
                <w:sz w:val="26"/>
                <w:rtl/>
              </w:rPr>
              <w:t>)</w:t>
            </w:r>
            <w:r>
              <w:rPr>
                <w:sz w:val="26"/>
                <w:rtl/>
              </w:rPr>
              <w:tab/>
            </w:r>
            <w:r w:rsidRPr="004F5687">
              <w:rPr>
                <w:rtl/>
              </w:rPr>
              <w:t>הקצאת כספים שהובטחו במסגרת הסכמים פוליטיים תקציביים או במסגרת הסכמים בין סיעות הקואליציה ת</w:t>
            </w:r>
            <w:r>
              <w:rPr>
                <w:rFonts w:hint="cs"/>
                <w:rtl/>
              </w:rPr>
              <w:t>י</w:t>
            </w:r>
            <w:r w:rsidRPr="004F5687">
              <w:rPr>
                <w:rtl/>
              </w:rPr>
              <w:t>עשה על פי הכללים המחייבים במשרד</w:t>
            </w:r>
            <w:r>
              <w:rPr>
                <w:rFonts w:hint="cs"/>
                <w:rtl/>
              </w:rPr>
              <w:t>,</w:t>
            </w:r>
            <w:r w:rsidRPr="004F5687">
              <w:rPr>
                <w:rtl/>
              </w:rPr>
              <w:t xml:space="preserve"> בכפוף </w:t>
            </w:r>
            <w:r>
              <w:rPr>
                <w:rFonts w:hint="cs"/>
                <w:rtl/>
              </w:rPr>
              <w:t>ל</w:t>
            </w:r>
            <w:r w:rsidRPr="004F5687">
              <w:rPr>
                <w:rtl/>
              </w:rPr>
              <w:t>ה</w:t>
            </w:r>
            <w:r>
              <w:rPr>
                <w:rFonts w:hint="cs"/>
                <w:rtl/>
              </w:rPr>
              <w:t>ו</w:t>
            </w:r>
            <w:r w:rsidRPr="004F5687">
              <w:rPr>
                <w:rtl/>
              </w:rPr>
              <w:t>ראות</w:t>
            </w:r>
            <w:r>
              <w:rPr>
                <w:rFonts w:hint="cs"/>
                <w:rtl/>
              </w:rPr>
              <w:t xml:space="preserve"> כל</w:t>
            </w:r>
            <w:r w:rsidRPr="004F5687">
              <w:rPr>
                <w:rtl/>
              </w:rPr>
              <w:t xml:space="preserve"> דין</w:t>
            </w:r>
            <w:r>
              <w:rPr>
                <w:rFonts w:hint="cs"/>
                <w:rtl/>
              </w:rPr>
              <w:t>.</w:t>
            </w:r>
          </w:p>
        </w:tc>
      </w:tr>
      <w:tr w:rsidR="00EC6FB7" w:rsidRPr="00BA3758" w14:paraId="61410BB8" w14:textId="77777777" w:rsidTr="00C17934">
        <w:trPr>
          <w:cantSplit/>
        </w:trPr>
        <w:tc>
          <w:tcPr>
            <w:tcW w:w="1871" w:type="dxa"/>
            <w:tcBorders>
              <w:left w:val="nil"/>
              <w:right w:val="nil"/>
            </w:tcBorders>
          </w:tcPr>
          <w:p w14:paraId="20BE1D6A" w14:textId="77777777" w:rsidR="00EC6FB7" w:rsidRPr="004F5687" w:rsidRDefault="00EC6FB7" w:rsidP="00C17934">
            <w:pPr>
              <w:pStyle w:val="TableSideHeading"/>
              <w:rPr>
                <w:sz w:val="26"/>
                <w:rtl/>
              </w:rPr>
            </w:pPr>
          </w:p>
        </w:tc>
        <w:tc>
          <w:tcPr>
            <w:tcW w:w="624" w:type="dxa"/>
            <w:tcBorders>
              <w:left w:val="nil"/>
              <w:right w:val="nil"/>
            </w:tcBorders>
          </w:tcPr>
          <w:p w14:paraId="387B2A13" w14:textId="77777777" w:rsidR="00EC6FB7" w:rsidRPr="004F5687" w:rsidRDefault="00EC6FB7" w:rsidP="00C17934">
            <w:pPr>
              <w:pStyle w:val="TableText"/>
              <w:rPr>
                <w:sz w:val="26"/>
                <w:rtl/>
              </w:rPr>
            </w:pPr>
          </w:p>
        </w:tc>
        <w:tc>
          <w:tcPr>
            <w:tcW w:w="7146" w:type="dxa"/>
            <w:tcBorders>
              <w:left w:val="nil"/>
              <w:right w:val="nil"/>
            </w:tcBorders>
          </w:tcPr>
          <w:p w14:paraId="6809F676" w14:textId="77777777" w:rsidR="00EC6FB7" w:rsidRPr="004F5687" w:rsidRDefault="00EC6FB7" w:rsidP="00C17934">
            <w:pPr>
              <w:pStyle w:val="TableText"/>
              <w:jc w:val="both"/>
              <w:rPr>
                <w:rtl/>
              </w:rPr>
            </w:pPr>
            <w:r>
              <w:rPr>
                <w:rFonts w:hint="cs"/>
                <w:sz w:val="26"/>
                <w:rtl/>
              </w:rPr>
              <w:t>(</w:t>
            </w:r>
            <w:r w:rsidRPr="004F5687">
              <w:rPr>
                <w:rFonts w:hint="eastAsia"/>
                <w:sz w:val="26"/>
                <w:rtl/>
              </w:rPr>
              <w:t>ד</w:t>
            </w:r>
            <w:r>
              <w:rPr>
                <w:rFonts w:hint="cs"/>
                <w:sz w:val="26"/>
                <w:rtl/>
              </w:rPr>
              <w:t>)</w:t>
            </w:r>
            <w:r>
              <w:rPr>
                <w:sz w:val="26"/>
                <w:rtl/>
              </w:rPr>
              <w:tab/>
            </w:r>
            <w:r w:rsidRPr="004F5687">
              <w:rPr>
                <w:rtl/>
              </w:rPr>
              <w:t>הסכמים פוליטיים תקציביים לא ייעדו תקציב לגוף</w:t>
            </w:r>
            <w:r>
              <w:rPr>
                <w:rFonts w:hint="cs"/>
                <w:rtl/>
              </w:rPr>
              <w:t xml:space="preserve"> ציבורי</w:t>
            </w:r>
            <w:r w:rsidRPr="004F5687">
              <w:rPr>
                <w:rtl/>
              </w:rPr>
              <w:t xml:space="preserve"> </w:t>
            </w:r>
            <w:r w:rsidRPr="004F5687">
              <w:rPr>
                <w:rFonts w:hint="eastAsia"/>
                <w:rtl/>
              </w:rPr>
              <w:t>מסוים</w:t>
            </w:r>
            <w:r w:rsidRPr="004F5687">
              <w:rPr>
                <w:rtl/>
              </w:rPr>
              <w:t xml:space="preserve">, אלא באישור היועץ המשפטי לממשלה אם השתכנע כי </w:t>
            </w:r>
            <w:r>
              <w:rPr>
                <w:rFonts w:hint="cs"/>
                <w:rtl/>
              </w:rPr>
              <w:t>לאותו גוף יש מאפיינים ייחודיים כך שרק הוא יכול לספק את הייעוד העומד בבסיס ההקצאה.</w:t>
            </w:r>
          </w:p>
        </w:tc>
      </w:tr>
      <w:tr w:rsidR="00EC6FB7" w:rsidRPr="00BA3758" w14:paraId="16A313C1" w14:textId="77777777" w:rsidTr="00C17934">
        <w:trPr>
          <w:cantSplit/>
        </w:trPr>
        <w:tc>
          <w:tcPr>
            <w:tcW w:w="1871" w:type="dxa"/>
            <w:tcBorders>
              <w:left w:val="nil"/>
              <w:right w:val="nil"/>
            </w:tcBorders>
          </w:tcPr>
          <w:p w14:paraId="176B7F8B" w14:textId="77777777" w:rsidR="00EC6FB7" w:rsidRPr="004F5687" w:rsidRDefault="00EC6FB7" w:rsidP="00C17934">
            <w:pPr>
              <w:pStyle w:val="TableSideHeading"/>
              <w:rPr>
                <w:sz w:val="26"/>
              </w:rPr>
            </w:pPr>
            <w:r w:rsidRPr="004F5687">
              <w:rPr>
                <w:sz w:val="26"/>
                <w:rtl/>
              </w:rPr>
              <w:t>הסכמים בין משרדים</w:t>
            </w:r>
            <w:r>
              <w:rPr>
                <w:rFonts w:hint="cs"/>
                <w:sz w:val="26"/>
                <w:rtl/>
              </w:rPr>
              <w:t xml:space="preserve"> לאישור חוק התקציב</w:t>
            </w:r>
          </w:p>
        </w:tc>
        <w:tc>
          <w:tcPr>
            <w:tcW w:w="624" w:type="dxa"/>
            <w:tcBorders>
              <w:left w:val="nil"/>
              <w:right w:val="nil"/>
            </w:tcBorders>
          </w:tcPr>
          <w:p w14:paraId="1208A7FA" w14:textId="77777777" w:rsidR="00EC6FB7" w:rsidRPr="004F5687" w:rsidRDefault="00EC6FB7" w:rsidP="00C17934">
            <w:pPr>
              <w:pStyle w:val="TableText"/>
              <w:rPr>
                <w:sz w:val="26"/>
              </w:rPr>
            </w:pPr>
            <w:r w:rsidRPr="004F5687">
              <w:rPr>
                <w:sz w:val="26"/>
                <w:rtl/>
              </w:rPr>
              <w:t xml:space="preserve">4. </w:t>
            </w:r>
          </w:p>
        </w:tc>
        <w:tc>
          <w:tcPr>
            <w:tcW w:w="7146" w:type="dxa"/>
            <w:tcBorders>
              <w:left w:val="nil"/>
              <w:right w:val="nil"/>
            </w:tcBorders>
          </w:tcPr>
          <w:p w14:paraId="7120E94D" w14:textId="77777777" w:rsidR="00EC6FB7" w:rsidRPr="004F5687" w:rsidRDefault="00EC6FB7" w:rsidP="00C17934">
            <w:pPr>
              <w:pStyle w:val="TableText"/>
              <w:jc w:val="both"/>
              <w:rPr>
                <w:rtl/>
              </w:rPr>
            </w:pPr>
            <w:r>
              <w:rPr>
                <w:rFonts w:hint="cs"/>
                <w:sz w:val="26"/>
                <w:rtl/>
              </w:rPr>
              <w:t>(</w:t>
            </w:r>
            <w:r w:rsidRPr="004F5687">
              <w:rPr>
                <w:sz w:val="26"/>
                <w:rtl/>
              </w:rPr>
              <w:t>א</w:t>
            </w:r>
            <w:r>
              <w:rPr>
                <w:rFonts w:hint="cs"/>
                <w:sz w:val="26"/>
                <w:rtl/>
              </w:rPr>
              <w:t>)</w:t>
            </w:r>
            <w:r>
              <w:rPr>
                <w:sz w:val="26"/>
                <w:rtl/>
              </w:rPr>
              <w:tab/>
            </w:r>
            <w:r w:rsidRPr="004F5687">
              <w:rPr>
                <w:rtl/>
              </w:rPr>
              <w:t>הסכמים בין משרדים</w:t>
            </w:r>
            <w:r>
              <w:rPr>
                <w:rFonts w:hint="cs"/>
                <w:rtl/>
              </w:rPr>
              <w:t xml:space="preserve"> לאישור חוק התקציב</w:t>
            </w:r>
            <w:r w:rsidRPr="004F5687">
              <w:rPr>
                <w:rtl/>
              </w:rPr>
              <w:t xml:space="preserve"> יכללו אך ורק נושאים הקשורים לתקציבי המשרדים המעורבים בהסכם עצמו</w:t>
            </w:r>
            <w:r>
              <w:rPr>
                <w:rFonts w:hint="cs"/>
                <w:rtl/>
              </w:rPr>
              <w:t>;</w:t>
            </w:r>
            <w:r w:rsidRPr="004F5687">
              <w:rPr>
                <w:rtl/>
              </w:rPr>
              <w:t xml:space="preserve"> אין לכלול בה</w:t>
            </w:r>
            <w:r>
              <w:rPr>
                <w:rFonts w:hint="cs"/>
                <w:rtl/>
              </w:rPr>
              <w:t>סכמים כאמור</w:t>
            </w:r>
            <w:r w:rsidRPr="004F5687">
              <w:rPr>
                <w:rtl/>
              </w:rPr>
              <w:t xml:space="preserve"> הסכמים פוליטיים תקציביים</w:t>
            </w:r>
            <w:r>
              <w:rPr>
                <w:rFonts w:hint="cs"/>
                <w:rtl/>
              </w:rPr>
              <w:t>,</w:t>
            </w:r>
            <w:r w:rsidRPr="004F5687">
              <w:rPr>
                <w:rtl/>
              </w:rPr>
              <w:t xml:space="preserve"> ובכלל זה התחייבות</w:t>
            </w:r>
            <w:r>
              <w:rPr>
                <w:rFonts w:hint="cs"/>
                <w:rtl/>
              </w:rPr>
              <w:t xml:space="preserve"> של</w:t>
            </w:r>
            <w:r w:rsidRPr="004F5687">
              <w:rPr>
                <w:rtl/>
              </w:rPr>
              <w:t xml:space="preserve"> השר</w:t>
            </w:r>
            <w:r>
              <w:rPr>
                <w:rFonts w:hint="cs"/>
                <w:rtl/>
              </w:rPr>
              <w:t xml:space="preserve"> הנוגע לעניין</w:t>
            </w:r>
            <w:r w:rsidRPr="004F5687">
              <w:rPr>
                <w:rtl/>
              </w:rPr>
              <w:t xml:space="preserve"> או חברי סיעתו לתמיכה ב</w:t>
            </w:r>
            <w:r>
              <w:rPr>
                <w:rFonts w:hint="cs"/>
                <w:rtl/>
              </w:rPr>
              <w:t>חוק התקציב</w:t>
            </w:r>
            <w:r w:rsidRPr="004F5687">
              <w:rPr>
                <w:rtl/>
              </w:rPr>
              <w:t xml:space="preserve"> בהליכי אישורו בכנסת.</w:t>
            </w:r>
          </w:p>
        </w:tc>
      </w:tr>
      <w:tr w:rsidR="00EC6FB7" w:rsidRPr="00BA3758" w14:paraId="01015497" w14:textId="77777777" w:rsidTr="00C17934">
        <w:trPr>
          <w:cantSplit/>
        </w:trPr>
        <w:tc>
          <w:tcPr>
            <w:tcW w:w="1871" w:type="dxa"/>
            <w:tcBorders>
              <w:left w:val="nil"/>
              <w:right w:val="nil"/>
            </w:tcBorders>
          </w:tcPr>
          <w:p w14:paraId="0939926E" w14:textId="77777777" w:rsidR="00EC6FB7" w:rsidRPr="004F5687" w:rsidRDefault="00EC6FB7" w:rsidP="00C17934">
            <w:pPr>
              <w:pStyle w:val="TableSideHeading"/>
              <w:rPr>
                <w:sz w:val="26"/>
                <w:rtl/>
              </w:rPr>
            </w:pPr>
          </w:p>
        </w:tc>
        <w:tc>
          <w:tcPr>
            <w:tcW w:w="624" w:type="dxa"/>
            <w:tcBorders>
              <w:left w:val="nil"/>
              <w:right w:val="nil"/>
            </w:tcBorders>
          </w:tcPr>
          <w:p w14:paraId="00B34C19" w14:textId="77777777" w:rsidR="00EC6FB7" w:rsidRPr="004F5687" w:rsidRDefault="00EC6FB7" w:rsidP="00C17934">
            <w:pPr>
              <w:pStyle w:val="TableText"/>
              <w:rPr>
                <w:sz w:val="26"/>
                <w:rtl/>
              </w:rPr>
            </w:pPr>
          </w:p>
        </w:tc>
        <w:tc>
          <w:tcPr>
            <w:tcW w:w="7146" w:type="dxa"/>
            <w:tcBorders>
              <w:left w:val="nil"/>
              <w:right w:val="nil"/>
            </w:tcBorders>
          </w:tcPr>
          <w:p w14:paraId="797B0F27" w14:textId="77777777" w:rsidR="00EC6FB7" w:rsidRPr="004F5687" w:rsidRDefault="00EC6FB7" w:rsidP="00C17934">
            <w:pPr>
              <w:pStyle w:val="TableText"/>
              <w:jc w:val="both"/>
              <w:rPr>
                <w:rtl/>
              </w:rPr>
            </w:pPr>
            <w:r>
              <w:rPr>
                <w:rFonts w:hint="cs"/>
                <w:sz w:val="26"/>
                <w:rtl/>
              </w:rPr>
              <w:t>(</w:t>
            </w:r>
            <w:r w:rsidRPr="004F5687">
              <w:rPr>
                <w:sz w:val="26"/>
                <w:rtl/>
              </w:rPr>
              <w:t>ב</w:t>
            </w:r>
            <w:r>
              <w:rPr>
                <w:rFonts w:hint="cs"/>
                <w:sz w:val="26"/>
                <w:rtl/>
              </w:rPr>
              <w:t>)</w:t>
            </w:r>
            <w:r>
              <w:rPr>
                <w:sz w:val="26"/>
                <w:rtl/>
              </w:rPr>
              <w:tab/>
            </w:r>
            <w:r w:rsidRPr="004F5687">
              <w:rPr>
                <w:rtl/>
              </w:rPr>
              <w:t>ה</w:t>
            </w:r>
            <w:r>
              <w:rPr>
                <w:rFonts w:hint="cs"/>
                <w:rtl/>
              </w:rPr>
              <w:t>ה</w:t>
            </w:r>
            <w:r w:rsidRPr="004F5687">
              <w:rPr>
                <w:rtl/>
              </w:rPr>
              <w:t xml:space="preserve">סכמים </w:t>
            </w:r>
            <w:r>
              <w:rPr>
                <w:rFonts w:hint="cs"/>
                <w:rtl/>
              </w:rPr>
              <w:t>המפורטים בסעיף קטן (א) ייכללו כנספח</w:t>
            </w:r>
            <w:r w:rsidRPr="004F5687">
              <w:rPr>
                <w:rtl/>
              </w:rPr>
              <w:t xml:space="preserve"> להחלטת הממשלה לאישור חוק התקציב</w:t>
            </w:r>
            <w:r>
              <w:rPr>
                <w:rFonts w:hint="cs"/>
                <w:rtl/>
              </w:rPr>
              <w:t>.</w:t>
            </w:r>
          </w:p>
        </w:tc>
      </w:tr>
      <w:tr w:rsidR="00EC6FB7" w:rsidRPr="00BA3758" w14:paraId="27FF0605" w14:textId="77777777" w:rsidTr="00C17934">
        <w:trPr>
          <w:cantSplit/>
        </w:trPr>
        <w:tc>
          <w:tcPr>
            <w:tcW w:w="1871" w:type="dxa"/>
            <w:tcBorders>
              <w:left w:val="nil"/>
              <w:right w:val="nil"/>
            </w:tcBorders>
          </w:tcPr>
          <w:p w14:paraId="2B16E8D1" w14:textId="77777777" w:rsidR="00EC6FB7" w:rsidRPr="004F5687" w:rsidRDefault="00EC6FB7" w:rsidP="00C17934">
            <w:pPr>
              <w:pStyle w:val="TableSideHeading"/>
              <w:rPr>
                <w:sz w:val="26"/>
                <w:rtl/>
              </w:rPr>
            </w:pPr>
            <w:r w:rsidRPr="004F5687">
              <w:rPr>
                <w:sz w:val="26"/>
                <w:rtl/>
              </w:rPr>
              <w:t>מעורבות פקידי ציבור</w:t>
            </w:r>
          </w:p>
        </w:tc>
        <w:tc>
          <w:tcPr>
            <w:tcW w:w="624" w:type="dxa"/>
            <w:tcBorders>
              <w:left w:val="nil"/>
              <w:right w:val="nil"/>
            </w:tcBorders>
          </w:tcPr>
          <w:p w14:paraId="28EE6A1A" w14:textId="77777777" w:rsidR="00EC6FB7" w:rsidRPr="004F5687" w:rsidRDefault="00EC6FB7" w:rsidP="00C17934">
            <w:pPr>
              <w:pStyle w:val="TableText"/>
              <w:rPr>
                <w:sz w:val="26"/>
                <w:rtl/>
              </w:rPr>
            </w:pPr>
            <w:r w:rsidRPr="004F5687">
              <w:rPr>
                <w:sz w:val="26"/>
                <w:rtl/>
              </w:rPr>
              <w:t>5</w:t>
            </w:r>
            <w:r>
              <w:rPr>
                <w:rFonts w:hint="cs"/>
                <w:sz w:val="26"/>
                <w:rtl/>
              </w:rPr>
              <w:t>.</w:t>
            </w:r>
          </w:p>
        </w:tc>
        <w:tc>
          <w:tcPr>
            <w:tcW w:w="7146" w:type="dxa"/>
            <w:tcBorders>
              <w:left w:val="nil"/>
              <w:right w:val="nil"/>
            </w:tcBorders>
          </w:tcPr>
          <w:p w14:paraId="5D69340F" w14:textId="77777777" w:rsidR="00EC6FB7" w:rsidRPr="004F5687" w:rsidRDefault="00EC6FB7" w:rsidP="00C17934">
            <w:pPr>
              <w:pStyle w:val="TableText"/>
              <w:jc w:val="both"/>
              <w:rPr>
                <w:rtl/>
              </w:rPr>
            </w:pPr>
            <w:r>
              <w:rPr>
                <w:rFonts w:hint="cs"/>
                <w:sz w:val="26"/>
                <w:rtl/>
              </w:rPr>
              <w:t>(</w:t>
            </w:r>
            <w:r w:rsidRPr="004F5687">
              <w:rPr>
                <w:sz w:val="26"/>
                <w:rtl/>
              </w:rPr>
              <w:t>א</w:t>
            </w:r>
            <w:r>
              <w:rPr>
                <w:rFonts w:hint="cs"/>
                <w:sz w:val="26"/>
                <w:rtl/>
              </w:rPr>
              <w:t>)</w:t>
            </w:r>
            <w:r>
              <w:rPr>
                <w:sz w:val="26"/>
                <w:rtl/>
              </w:rPr>
              <w:tab/>
            </w:r>
            <w:r>
              <w:rPr>
                <w:rFonts w:hint="cs"/>
                <w:rtl/>
              </w:rPr>
              <w:t>עובדי המדינה שאינם נבחרי הציבור</w:t>
            </w:r>
            <w:r w:rsidRPr="004F5687">
              <w:rPr>
                <w:rtl/>
              </w:rPr>
              <w:t xml:space="preserve"> לא </w:t>
            </w:r>
            <w:r>
              <w:rPr>
                <w:rFonts w:hint="cs"/>
                <w:rtl/>
              </w:rPr>
              <w:t>ישתתפו במשא</w:t>
            </w:r>
            <w:r w:rsidRPr="004F5687">
              <w:rPr>
                <w:rtl/>
              </w:rPr>
              <w:t xml:space="preserve"> ומתן </w:t>
            </w:r>
            <w:r>
              <w:rPr>
                <w:rFonts w:hint="cs"/>
                <w:rtl/>
              </w:rPr>
              <w:t xml:space="preserve">לשם </w:t>
            </w:r>
            <w:r w:rsidRPr="004F5687">
              <w:rPr>
                <w:rtl/>
              </w:rPr>
              <w:t>עריכת הסכמים פוליטיים</w:t>
            </w:r>
            <w:r>
              <w:rPr>
                <w:rFonts w:hint="cs"/>
                <w:rtl/>
              </w:rPr>
              <w:t xml:space="preserve"> תקציביים</w:t>
            </w:r>
            <w:r w:rsidRPr="004F5687">
              <w:rPr>
                <w:rtl/>
              </w:rPr>
              <w:t xml:space="preserve">, אך הם </w:t>
            </w:r>
            <w:r>
              <w:rPr>
                <w:rFonts w:hint="cs"/>
                <w:rtl/>
              </w:rPr>
              <w:t xml:space="preserve">יהיו </w:t>
            </w:r>
            <w:r w:rsidRPr="004F5687">
              <w:rPr>
                <w:rtl/>
              </w:rPr>
              <w:t>רש</w:t>
            </w:r>
            <w:r w:rsidRPr="004F5687">
              <w:rPr>
                <w:rFonts w:hint="eastAsia"/>
                <w:rtl/>
              </w:rPr>
              <w:t>א</w:t>
            </w:r>
            <w:r w:rsidRPr="004F5687">
              <w:rPr>
                <w:rtl/>
              </w:rPr>
              <w:t>ים לייעץ לשר הממונה עליהם</w:t>
            </w:r>
            <w:r>
              <w:rPr>
                <w:rFonts w:hint="cs"/>
                <w:rtl/>
              </w:rPr>
              <w:t xml:space="preserve"> בכל הנוגע ל</w:t>
            </w:r>
            <w:r w:rsidRPr="004F5687">
              <w:rPr>
                <w:rtl/>
              </w:rPr>
              <w:t xml:space="preserve">היבטים </w:t>
            </w:r>
            <w:r w:rsidRPr="004F5687">
              <w:rPr>
                <w:rFonts w:hint="eastAsia"/>
                <w:rtl/>
              </w:rPr>
              <w:t>ה</w:t>
            </w:r>
            <w:r w:rsidRPr="004F5687">
              <w:rPr>
                <w:rtl/>
              </w:rPr>
              <w:t xml:space="preserve">מקצועיים הכרוכים בהסכם </w:t>
            </w:r>
            <w:r>
              <w:rPr>
                <w:rFonts w:hint="cs"/>
                <w:rtl/>
              </w:rPr>
              <w:t>כאמור</w:t>
            </w:r>
            <w:r w:rsidRPr="004F5687">
              <w:rPr>
                <w:rtl/>
              </w:rPr>
              <w:t xml:space="preserve">. </w:t>
            </w:r>
          </w:p>
        </w:tc>
      </w:tr>
      <w:tr w:rsidR="00EC6FB7" w:rsidRPr="00BA3758" w14:paraId="6038985E" w14:textId="77777777" w:rsidTr="00C17934">
        <w:trPr>
          <w:cantSplit/>
        </w:trPr>
        <w:tc>
          <w:tcPr>
            <w:tcW w:w="1871" w:type="dxa"/>
            <w:tcBorders>
              <w:left w:val="nil"/>
              <w:bottom w:val="nil"/>
              <w:right w:val="nil"/>
            </w:tcBorders>
          </w:tcPr>
          <w:p w14:paraId="7D96B273" w14:textId="77777777" w:rsidR="00EC6FB7" w:rsidRPr="004F5687" w:rsidRDefault="00EC6FB7" w:rsidP="00C17934">
            <w:pPr>
              <w:pStyle w:val="TableSideHeading"/>
              <w:rPr>
                <w:sz w:val="26"/>
                <w:rtl/>
              </w:rPr>
            </w:pPr>
          </w:p>
        </w:tc>
        <w:tc>
          <w:tcPr>
            <w:tcW w:w="624" w:type="dxa"/>
            <w:tcBorders>
              <w:left w:val="nil"/>
              <w:bottom w:val="nil"/>
              <w:right w:val="nil"/>
            </w:tcBorders>
          </w:tcPr>
          <w:p w14:paraId="1948CE4E" w14:textId="77777777" w:rsidR="00EC6FB7" w:rsidRPr="004F5687" w:rsidRDefault="00EC6FB7" w:rsidP="00C17934">
            <w:pPr>
              <w:pStyle w:val="TableText"/>
              <w:rPr>
                <w:sz w:val="26"/>
                <w:rtl/>
              </w:rPr>
            </w:pPr>
          </w:p>
        </w:tc>
        <w:tc>
          <w:tcPr>
            <w:tcW w:w="7146" w:type="dxa"/>
            <w:tcBorders>
              <w:left w:val="nil"/>
              <w:bottom w:val="nil"/>
              <w:right w:val="nil"/>
            </w:tcBorders>
          </w:tcPr>
          <w:p w14:paraId="191F48CD" w14:textId="77777777" w:rsidR="00EC6FB7" w:rsidRPr="004F5687" w:rsidRDefault="00EC6FB7" w:rsidP="00C17934">
            <w:pPr>
              <w:pStyle w:val="TableText"/>
              <w:jc w:val="both"/>
              <w:rPr>
                <w:rtl/>
              </w:rPr>
            </w:pPr>
            <w:r>
              <w:rPr>
                <w:rFonts w:hint="cs"/>
                <w:sz w:val="26"/>
                <w:rtl/>
              </w:rPr>
              <w:t>(</w:t>
            </w:r>
            <w:r w:rsidRPr="004F5687">
              <w:rPr>
                <w:sz w:val="26"/>
                <w:rtl/>
              </w:rPr>
              <w:t>ב</w:t>
            </w:r>
            <w:r>
              <w:rPr>
                <w:rFonts w:hint="cs"/>
                <w:sz w:val="26"/>
                <w:rtl/>
              </w:rPr>
              <w:t>)</w:t>
            </w:r>
            <w:r>
              <w:rPr>
                <w:sz w:val="26"/>
                <w:rtl/>
              </w:rPr>
              <w:tab/>
            </w:r>
            <w:r>
              <w:rPr>
                <w:rFonts w:hint="cs"/>
                <w:rtl/>
              </w:rPr>
              <w:t xml:space="preserve">עובד המדינה שאינו נבחר הציבור </w:t>
            </w:r>
            <w:r w:rsidRPr="004F5687">
              <w:rPr>
                <w:rtl/>
              </w:rPr>
              <w:t xml:space="preserve">יקבל הוראות להקצאת כספים </w:t>
            </w:r>
            <w:r>
              <w:rPr>
                <w:rFonts w:hint="cs"/>
                <w:rtl/>
              </w:rPr>
              <w:t>שהם תוצאה של</w:t>
            </w:r>
            <w:r w:rsidRPr="004F5687">
              <w:rPr>
                <w:rtl/>
              </w:rPr>
              <w:t xml:space="preserve"> הסכמים פוליטיים תקציביים אך ורק מגורם מוסמך על פי דין</w:t>
            </w:r>
            <w:r>
              <w:rPr>
                <w:rFonts w:hint="cs"/>
                <w:rtl/>
              </w:rPr>
              <w:t>.</w:t>
            </w:r>
          </w:p>
        </w:tc>
      </w:tr>
    </w:tbl>
    <w:p w14:paraId="763A3B51" w14:textId="77777777" w:rsidR="00EC6FB7" w:rsidRDefault="00EC6FB7" w:rsidP="00EC6FB7">
      <w:pPr>
        <w:pStyle w:val="HeadDivreiHesber"/>
        <w:rPr>
          <w:rtl/>
        </w:rPr>
      </w:pPr>
      <w:r w:rsidRPr="0027450A">
        <w:rPr>
          <w:rFonts w:hint="cs"/>
          <w:rtl/>
        </w:rPr>
        <w:t>דברי הסבר</w:t>
      </w:r>
    </w:p>
    <w:p w14:paraId="33028538" w14:textId="77777777" w:rsidR="00EC6FB7" w:rsidRPr="001A0B16" w:rsidRDefault="00EC6FB7" w:rsidP="00EF52BD">
      <w:pPr>
        <w:pStyle w:val="Hesber"/>
      </w:pPr>
      <w:r w:rsidRPr="001A0B16">
        <w:rPr>
          <w:rtl/>
        </w:rPr>
        <w:t>במערכת הפוליטית הנוהגת על פי שיטה פרלמנטרית קואליציונית, נערכים הסכמים פוליטיים המבטאים את סדר העדיפויות של הממשלה הנבחרת. הסכמים אלו נערכים סביב הקמת ממשלה חדשה או סביב אישור חוק תקציב ולכן מבטאים את המדיניות הכלכלית של אותה ממשלה שנבחרה על ידי הציבור.</w:t>
      </w:r>
    </w:p>
    <w:p w14:paraId="02BD7350" w14:textId="77777777" w:rsidR="00EC6FB7" w:rsidRPr="000956D5" w:rsidRDefault="00EC6FB7" w:rsidP="00EC6FB7">
      <w:pPr>
        <w:pStyle w:val="Hesber"/>
        <w:rPr>
          <w:rtl/>
        </w:rPr>
      </w:pPr>
      <w:r>
        <w:rPr>
          <w:rFonts w:hint="cs"/>
          <w:rtl/>
        </w:rPr>
        <w:t xml:space="preserve">ואולם, יש </w:t>
      </w:r>
      <w:r w:rsidRPr="00BA3758">
        <w:rPr>
          <w:rtl/>
        </w:rPr>
        <w:t xml:space="preserve">חברי כנסת </w:t>
      </w:r>
      <w:r>
        <w:rPr>
          <w:rFonts w:hint="cs"/>
          <w:rtl/>
        </w:rPr>
        <w:t>ש</w:t>
      </w:r>
      <w:r w:rsidRPr="00BA3758">
        <w:rPr>
          <w:rtl/>
        </w:rPr>
        <w:t>משתמשים בהסכמים הפוליטיים על מנת ל</w:t>
      </w:r>
      <w:r>
        <w:rPr>
          <w:rFonts w:hint="cs"/>
          <w:rtl/>
        </w:rPr>
        <w:t>הקצות</w:t>
      </w:r>
      <w:r w:rsidRPr="00BA3758">
        <w:rPr>
          <w:rtl/>
        </w:rPr>
        <w:t xml:space="preserve"> כספים מהקופה הציבורית </w:t>
      </w:r>
      <w:r w:rsidRPr="007E3EEF">
        <w:rPr>
          <w:rtl/>
        </w:rPr>
        <w:t>לטובתם האישית</w:t>
      </w:r>
      <w:r w:rsidRPr="00BA3758">
        <w:rPr>
          <w:rtl/>
        </w:rPr>
        <w:t xml:space="preserve">. רק לאחרונה, </w:t>
      </w:r>
      <w:r>
        <w:rPr>
          <w:rFonts w:hint="cs"/>
          <w:rtl/>
        </w:rPr>
        <w:t xml:space="preserve">בליל </w:t>
      </w:r>
      <w:r>
        <w:rPr>
          <w:rtl/>
        </w:rPr>
        <w:t>אישור</w:t>
      </w:r>
      <w:r>
        <w:rPr>
          <w:rFonts w:hint="cs"/>
          <w:rtl/>
        </w:rPr>
        <w:t xml:space="preserve"> </w:t>
      </w:r>
      <w:r w:rsidRPr="00BA3758">
        <w:rPr>
          <w:rtl/>
        </w:rPr>
        <w:t>תקציב</w:t>
      </w:r>
      <w:r>
        <w:rPr>
          <w:rFonts w:hint="cs"/>
          <w:rtl/>
        </w:rPr>
        <w:t xml:space="preserve"> המדינה לשנים</w:t>
      </w:r>
      <w:r w:rsidRPr="00BA3758">
        <w:rPr>
          <w:rtl/>
        </w:rPr>
        <w:t xml:space="preserve"> 2017</w:t>
      </w:r>
      <w:r>
        <w:rPr>
          <w:rFonts w:hint="cs"/>
          <w:rtl/>
        </w:rPr>
        <w:t xml:space="preserve"> ו-</w:t>
      </w:r>
      <w:r w:rsidRPr="000956D5">
        <w:rPr>
          <w:rtl/>
        </w:rPr>
        <w:t>2018</w:t>
      </w:r>
      <w:r>
        <w:rPr>
          <w:rFonts w:hint="cs"/>
          <w:rtl/>
        </w:rPr>
        <w:t xml:space="preserve">, </w:t>
      </w:r>
      <w:r w:rsidRPr="000956D5">
        <w:rPr>
          <w:rtl/>
        </w:rPr>
        <w:t>הוקצו כ</w:t>
      </w:r>
      <w:r>
        <w:rPr>
          <w:rFonts w:hint="cs"/>
          <w:rtl/>
        </w:rPr>
        <w:t>-</w:t>
      </w:r>
      <w:r w:rsidRPr="000956D5">
        <w:rPr>
          <w:rtl/>
        </w:rPr>
        <w:t>290 מיליו</w:t>
      </w:r>
      <w:r>
        <w:rPr>
          <w:rFonts w:hint="cs"/>
          <w:rtl/>
        </w:rPr>
        <w:t xml:space="preserve">ן </w:t>
      </w:r>
      <w:r w:rsidRPr="000956D5">
        <w:rPr>
          <w:rtl/>
        </w:rPr>
        <w:t>שקלים</w:t>
      </w:r>
      <w:r>
        <w:rPr>
          <w:rFonts w:hint="cs"/>
          <w:rtl/>
        </w:rPr>
        <w:t xml:space="preserve"> חדשים ככספים קואליציוניי</w:t>
      </w:r>
      <w:r>
        <w:rPr>
          <w:rFonts w:hint="eastAsia"/>
          <w:rtl/>
        </w:rPr>
        <w:t>ם</w:t>
      </w:r>
      <w:r>
        <w:rPr>
          <w:rFonts w:hint="cs"/>
          <w:rtl/>
        </w:rPr>
        <w:t xml:space="preserve">. </w:t>
      </w:r>
      <w:r w:rsidRPr="000956D5">
        <w:rPr>
          <w:rtl/>
        </w:rPr>
        <w:t xml:space="preserve">בשיטה זו חבר </w:t>
      </w:r>
      <w:r>
        <w:rPr>
          <w:rFonts w:hint="cs"/>
          <w:rtl/>
        </w:rPr>
        <w:t>ה</w:t>
      </w:r>
      <w:r w:rsidRPr="000956D5">
        <w:rPr>
          <w:rtl/>
        </w:rPr>
        <w:t>כנסת</w:t>
      </w:r>
      <w:r>
        <w:rPr>
          <w:rFonts w:hint="cs"/>
          <w:rtl/>
        </w:rPr>
        <w:t xml:space="preserve"> מתנה</w:t>
      </w:r>
      <w:r w:rsidRPr="000956D5">
        <w:rPr>
          <w:rtl/>
        </w:rPr>
        <w:t xml:space="preserve"> את תמיכתו בתקציב המדינה בתמורה להקצאת מיליוני שקלים</w:t>
      </w:r>
      <w:r>
        <w:rPr>
          <w:rFonts w:hint="cs"/>
          <w:rtl/>
        </w:rPr>
        <w:t xml:space="preserve"> חדשים</w:t>
      </w:r>
      <w:r w:rsidRPr="000956D5">
        <w:rPr>
          <w:rtl/>
        </w:rPr>
        <w:t xml:space="preserve"> מהקופה הציבורית למטרותיו. שיטה זו גורמת להעברת מיליוני שקלים מה</w:t>
      </w:r>
      <w:bookmarkStart w:id="6" w:name="_GoBack"/>
      <w:bookmarkEnd w:id="6"/>
      <w:r w:rsidRPr="000956D5">
        <w:rPr>
          <w:rtl/>
        </w:rPr>
        <w:t>קופה הציבורית ללא דיון במדיניות כלכלית או סדרי עדיפויות, למטרות שמשרתות את חבר הכנסת לצ</w:t>
      </w:r>
      <w:r>
        <w:rPr>
          <w:rFonts w:hint="cs"/>
          <w:rtl/>
        </w:rPr>
        <w:t>ו</w:t>
      </w:r>
      <w:r w:rsidRPr="000956D5">
        <w:rPr>
          <w:rtl/>
        </w:rPr>
        <w:t xml:space="preserve">רכי הפריימריז שלו, תמיכה במקורבים </w:t>
      </w:r>
      <w:r>
        <w:rPr>
          <w:rFonts w:hint="cs"/>
          <w:rtl/>
        </w:rPr>
        <w:t>ועוד.</w:t>
      </w:r>
    </w:p>
    <w:p w14:paraId="38FD7FDB" w14:textId="77777777" w:rsidR="00EC6FB7" w:rsidRDefault="00EC6FB7" w:rsidP="00EC6FB7">
      <w:pPr>
        <w:pStyle w:val="Hesber"/>
        <w:rPr>
          <w:rtl/>
        </w:rPr>
      </w:pPr>
      <w:r w:rsidRPr="000956D5">
        <w:rPr>
          <w:rtl/>
        </w:rPr>
        <w:t>הצעת חוק זו</w:t>
      </w:r>
      <w:r>
        <w:rPr>
          <w:rFonts w:hint="cs"/>
          <w:rtl/>
        </w:rPr>
        <w:t xml:space="preserve"> נועדה</w:t>
      </w:r>
      <w:r w:rsidRPr="000956D5">
        <w:rPr>
          <w:rtl/>
        </w:rPr>
        <w:t xml:space="preserve"> לבטל את התופעה </w:t>
      </w:r>
      <w:r>
        <w:rPr>
          <w:rFonts w:hint="cs"/>
          <w:rtl/>
        </w:rPr>
        <w:t>שלפיה</w:t>
      </w:r>
      <w:r w:rsidRPr="000956D5">
        <w:rPr>
          <w:rtl/>
        </w:rPr>
        <w:t xml:space="preserve"> חברי </w:t>
      </w:r>
      <w:r>
        <w:rPr>
          <w:rFonts w:hint="cs"/>
          <w:rtl/>
        </w:rPr>
        <w:t>ה</w:t>
      </w:r>
      <w:r w:rsidRPr="000956D5">
        <w:rPr>
          <w:rtl/>
        </w:rPr>
        <w:t>כנסת מתנים את הצבעתם</w:t>
      </w:r>
      <w:r>
        <w:rPr>
          <w:rFonts w:hint="cs"/>
          <w:rtl/>
        </w:rPr>
        <w:t xml:space="preserve"> </w:t>
      </w:r>
      <w:r w:rsidRPr="000956D5">
        <w:rPr>
          <w:rtl/>
        </w:rPr>
        <w:t xml:space="preserve">בקבלת כספים </w:t>
      </w:r>
      <w:r w:rsidRPr="000956D5">
        <w:rPr>
          <w:rtl/>
        </w:rPr>
        <w:lastRenderedPageBreak/>
        <w:t>פוליטיים</w:t>
      </w:r>
      <w:r>
        <w:rPr>
          <w:rFonts w:hint="cs"/>
          <w:rtl/>
        </w:rPr>
        <w:t>,</w:t>
      </w:r>
      <w:r w:rsidRPr="000956D5">
        <w:rPr>
          <w:rtl/>
        </w:rPr>
        <w:t xml:space="preserve"> ומסדירה את הדרכים </w:t>
      </w:r>
      <w:r>
        <w:rPr>
          <w:rFonts w:hint="cs"/>
          <w:rtl/>
        </w:rPr>
        <w:t>ש</w:t>
      </w:r>
      <w:r w:rsidRPr="000956D5">
        <w:rPr>
          <w:rtl/>
        </w:rPr>
        <w:t>בהן נקבעים הסכמים בין סיעות החברות בקואליציה</w:t>
      </w:r>
      <w:r>
        <w:rPr>
          <w:rFonts w:hint="cs"/>
          <w:rtl/>
        </w:rPr>
        <w:t>. ההצעה</w:t>
      </w:r>
      <w:r w:rsidRPr="000956D5">
        <w:rPr>
          <w:rtl/>
        </w:rPr>
        <w:t xml:space="preserve"> </w:t>
      </w:r>
      <w:r>
        <w:rPr>
          <w:rFonts w:hint="cs"/>
          <w:rtl/>
        </w:rPr>
        <w:t xml:space="preserve">נועדה לייצר </w:t>
      </w:r>
      <w:r w:rsidRPr="000956D5">
        <w:rPr>
          <w:rtl/>
        </w:rPr>
        <w:t>שקיפות ומ</w:t>
      </w:r>
      <w:r>
        <w:rPr>
          <w:rFonts w:hint="cs"/>
          <w:rtl/>
        </w:rPr>
        <w:t>י</w:t>
      </w:r>
      <w:r w:rsidRPr="000956D5">
        <w:rPr>
          <w:rtl/>
        </w:rPr>
        <w:t>נהל תקין בכל הנוגע לשימוש בכספי הציבור על מנת למנוע שחיתות במערכת הפוליטית.</w:t>
      </w:r>
    </w:p>
    <w:p w14:paraId="701ECC73" w14:textId="3A394A4E" w:rsidR="00EC6FB7" w:rsidRDefault="00EC6FB7" w:rsidP="00ED7F5D">
      <w:pPr>
        <w:pStyle w:val="Hesber"/>
        <w:rPr>
          <w:rtl/>
        </w:rPr>
      </w:pPr>
      <w:r>
        <w:rPr>
          <w:rFonts w:hint="cs"/>
          <w:rtl/>
        </w:rPr>
        <w:t>הצע</w:t>
      </w:r>
      <w:r w:rsidR="00ED7F5D">
        <w:rPr>
          <w:rFonts w:hint="cs"/>
          <w:rtl/>
        </w:rPr>
        <w:t>ו</w:t>
      </w:r>
      <w:r>
        <w:rPr>
          <w:rFonts w:hint="cs"/>
          <w:rtl/>
        </w:rPr>
        <w:t>ת חוק זה</w:t>
      </w:r>
      <w:r w:rsidR="00ED7F5D">
        <w:rPr>
          <w:rFonts w:hint="cs"/>
          <w:rtl/>
        </w:rPr>
        <w:t>ות</w:t>
      </w:r>
      <w:r>
        <w:rPr>
          <w:rFonts w:hint="cs"/>
          <w:rtl/>
        </w:rPr>
        <w:t xml:space="preserve"> הונח</w:t>
      </w:r>
      <w:r w:rsidR="00ED7F5D">
        <w:rPr>
          <w:rFonts w:hint="cs"/>
          <w:rtl/>
        </w:rPr>
        <w:t>ו</w:t>
      </w:r>
      <w:r>
        <w:rPr>
          <w:rFonts w:hint="cs"/>
          <w:rtl/>
        </w:rPr>
        <w:t xml:space="preserve"> על שולחן הכנסת העשרים על ידי חבר הכנסת יאיר לפיד וקבוצת חברי הכנסת (פ/4321</w:t>
      </w:r>
      <w:r w:rsidR="00ED7F5D">
        <w:rPr>
          <w:rFonts w:hint="cs"/>
          <w:rtl/>
        </w:rPr>
        <w:t>/</w:t>
      </w:r>
      <w:r>
        <w:rPr>
          <w:rFonts w:hint="cs"/>
          <w:rtl/>
        </w:rPr>
        <w:t>20; הוסרה מסדר היום ביום ל' בסיוון התשע"ח (13 ביוני 2018)</w:t>
      </w:r>
      <w:r w:rsidR="00ED7F5D">
        <w:rPr>
          <w:rFonts w:hint="cs"/>
          <w:rtl/>
        </w:rPr>
        <w:t>;</w:t>
      </w:r>
      <w:r w:rsidR="00ED7F5D" w:rsidDel="00ED7F5D">
        <w:rPr>
          <w:rFonts w:hint="cs"/>
          <w:rtl/>
        </w:rPr>
        <w:t xml:space="preserve"> </w:t>
      </w:r>
      <w:r>
        <w:rPr>
          <w:rFonts w:hint="cs"/>
          <w:rtl/>
        </w:rPr>
        <w:t>פ/5666/20)</w:t>
      </w:r>
      <w:r w:rsidR="00ED7F5D">
        <w:rPr>
          <w:rFonts w:hint="cs"/>
          <w:rtl/>
        </w:rPr>
        <w:t xml:space="preserve"> ועל שולחן הכנסת העשרים ושתיים על ידי חבר הכנסת יאיר לפיד (פ/904/22)</w:t>
      </w:r>
      <w:r>
        <w:rPr>
          <w:rFonts w:hint="cs"/>
          <w:rtl/>
        </w:rPr>
        <w:t>.</w:t>
      </w:r>
    </w:p>
    <w:p w14:paraId="42E452ED" w14:textId="77777777" w:rsidR="00EF52BD" w:rsidRDefault="00EF52BD" w:rsidP="00ED7F5D">
      <w:pPr>
        <w:pStyle w:val="Hesber"/>
        <w:rPr>
          <w:rtl/>
        </w:rPr>
      </w:pPr>
    </w:p>
    <w:p w14:paraId="4C4E179A" w14:textId="77777777" w:rsidR="00EF52BD" w:rsidRDefault="00EF52BD" w:rsidP="00ED7F5D">
      <w:pPr>
        <w:pStyle w:val="Hesber"/>
        <w:rPr>
          <w:rtl/>
        </w:rPr>
      </w:pPr>
    </w:p>
    <w:p w14:paraId="56C6C161" w14:textId="77777777" w:rsidR="00EF52BD" w:rsidRPr="00D73212" w:rsidRDefault="00EF52BD" w:rsidP="00EF52BD">
      <w:pPr>
        <w:pStyle w:val="Hesber"/>
        <w:ind w:firstLine="0"/>
        <w:rPr>
          <w:color w:val="auto"/>
          <w:rtl/>
          <w:lang w:eastAsia="en-US"/>
        </w:rPr>
      </w:pPr>
      <w:r w:rsidRPr="00D73212">
        <w:rPr>
          <w:color w:val="auto"/>
          <w:rtl/>
          <w:lang w:eastAsia="en-US"/>
        </w:rPr>
        <w:t>---------------------------------</w:t>
      </w:r>
    </w:p>
    <w:p w14:paraId="21F5956F" w14:textId="77777777" w:rsidR="00EF52BD" w:rsidRPr="00D73212" w:rsidRDefault="00EF52BD" w:rsidP="00EF52BD">
      <w:pPr>
        <w:pStyle w:val="Hesber"/>
        <w:ind w:firstLine="0"/>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65728C14" w14:textId="77777777" w:rsidR="00EF52BD" w:rsidRPr="00D73212" w:rsidRDefault="00EF52BD" w:rsidP="00EF52BD">
      <w:pPr>
        <w:pStyle w:val="Hesber"/>
        <w:ind w:firstLine="0"/>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7674C36A" w14:textId="77777777" w:rsidR="00EF52BD" w:rsidRPr="005E6543" w:rsidRDefault="00EF52BD" w:rsidP="00EF52BD">
      <w:pPr>
        <w:pStyle w:val="Hesber"/>
        <w:ind w:firstLine="0"/>
        <w:rPr>
          <w:rtl/>
        </w:rPr>
      </w:pPr>
      <w:r>
        <w:rPr>
          <w:rFonts w:hint="cs"/>
          <w:color w:val="auto"/>
          <w:rtl/>
          <w:lang w:eastAsia="en-US"/>
        </w:rPr>
        <w:t xml:space="preserve">ט' בסיוון </w:t>
      </w:r>
      <w:r w:rsidRPr="00D73212">
        <w:rPr>
          <w:rFonts w:hint="cs"/>
          <w:color w:val="auto"/>
          <w:rtl/>
          <w:lang w:eastAsia="en-US"/>
        </w:rPr>
        <w:t>התש</w:t>
      </w:r>
      <w:r>
        <w:rPr>
          <w:rFonts w:hint="cs"/>
          <w:color w:val="auto"/>
          <w:rtl/>
          <w:lang w:eastAsia="en-US"/>
        </w:rPr>
        <w:t xml:space="preserve">"ף </w:t>
      </w:r>
      <w:r w:rsidRPr="00D73212">
        <w:rPr>
          <w:color w:val="auto"/>
          <w:rtl/>
          <w:lang w:eastAsia="en-US"/>
        </w:rPr>
        <w:t>–</w:t>
      </w:r>
      <w:r>
        <w:rPr>
          <w:rFonts w:hint="cs"/>
          <w:color w:val="auto"/>
          <w:rtl/>
          <w:lang w:eastAsia="en-US"/>
        </w:rPr>
        <w:t xml:space="preserve"> 1.6.20</w:t>
      </w:r>
    </w:p>
    <w:p w14:paraId="6AEC500D" w14:textId="77777777" w:rsidR="00EF52BD" w:rsidRDefault="00EF52BD" w:rsidP="00ED7F5D">
      <w:pPr>
        <w:pStyle w:val="Hesber"/>
        <w:rPr>
          <w:rtl/>
        </w:rPr>
      </w:pPr>
    </w:p>
    <w:p w14:paraId="68964B17" w14:textId="77777777" w:rsidR="00EC6FB7" w:rsidRDefault="00EC6FB7" w:rsidP="00EC6FB7">
      <w:pPr>
        <w:pStyle w:val="Hesber"/>
        <w:rPr>
          <w:rtl/>
        </w:rPr>
      </w:pPr>
    </w:p>
    <w:p w14:paraId="68CBA02C" w14:textId="77777777" w:rsidR="00EC6FB7" w:rsidRDefault="00EC6FB7" w:rsidP="00EC6FB7">
      <w:pPr>
        <w:pStyle w:val="Hesber"/>
        <w:rPr>
          <w:rtl/>
        </w:rPr>
      </w:pPr>
    </w:p>
    <w:p w14:paraId="7F6961CB" w14:textId="77777777" w:rsidR="00E13C27" w:rsidRDefault="00E13C27" w:rsidP="00EC6FB7">
      <w:pPr>
        <w:pStyle w:val="HeadDivreiHesber"/>
        <w:spacing w:before="0" w:after="0"/>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EF52BD">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A0B16"/>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CF4D3C"/>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C6FB7"/>
    <w:rsid w:val="00ED4A6F"/>
    <w:rsid w:val="00ED7F5D"/>
    <w:rsid w:val="00EF3A3A"/>
    <w:rsid w:val="00EF52BD"/>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FE9EA728-DC67-43C1-92E8-B10F4EA1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3D6E9C754E1F7C4C891E9EE2E0AF8150" ma:contentTypeVersion="" ma:contentTypeDescription="צור מסמך חדש." ma:contentTypeScope="" ma:versionID="b2c52f23e7867aea476dda019525fa9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431467-04A8-413D-964B-453C2777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42FEA545-E277-48A0-B51F-2FC79A8A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571</Words>
  <Characters>3255</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דניאלה ווייס עמר</cp:lastModifiedBy>
  <cp:revision>7</cp:revision>
  <cp:lastPrinted>2020-05-26T06:56:00Z</cp:lastPrinted>
  <dcterms:created xsi:type="dcterms:W3CDTF">2015-04-20T09:58:00Z</dcterms:created>
  <dcterms:modified xsi:type="dcterms:W3CDTF">2020-05-26T06:56:00Z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0x0101003D6E9C754E1F7C4C891E9EE2E0AF8150</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2086037</vt:r8>
  </property>
</Properties>
</file>