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2086523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415B561E"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7D5C64">
        <w:rPr>
          <w:rtl/>
        </w:rPr>
        <w:tab/>
      </w:r>
      <w:r>
        <w:rPr>
          <w:rFonts w:hint="cs"/>
          <w:rtl/>
        </w:rPr>
        <w:t>פ/572/23</w:t>
      </w:r>
      <w:bookmarkEnd w:id="6"/>
    </w:p>
    <w:p w14:paraId="7F6961AC" w14:textId="77777777" w:rsidR="00E13C27" w:rsidRDefault="00E13C27" w:rsidP="00E13C27">
      <w:pPr>
        <w:ind w:left="2880" w:firstLine="720"/>
        <w:rPr>
          <w:sz w:val="26"/>
          <w:szCs w:val="26"/>
          <w:rtl/>
        </w:rPr>
      </w:pPr>
    </w:p>
    <w:p w14:paraId="7F6961AD" w14:textId="6F90BC60" w:rsidR="00E13C27" w:rsidRPr="00F67051" w:rsidRDefault="00A443CF" w:rsidP="002405CD">
      <w:pPr>
        <w:pStyle w:val="HeadHatzaotHok"/>
        <w:rPr>
          <w:rtl/>
        </w:rPr>
      </w:pPr>
      <w:bookmarkStart w:id="7" w:name="LGS_Subject"/>
      <w:r>
        <w:rPr>
          <w:rFonts w:hint="cs"/>
          <w:rtl/>
        </w:rPr>
        <w:t xml:space="preserve">הצעת חוק המכינות הקדם-צבאיות (תיקון </w:t>
      </w:r>
      <w:r w:rsidR="002405CD">
        <w:rPr>
          <w:rFonts w:hint="eastAsia"/>
          <w:rtl/>
        </w:rPr>
        <w:t>–</w:t>
      </w:r>
      <w:r w:rsidR="002405CD">
        <w:rPr>
          <w:rFonts w:hint="cs"/>
          <w:rtl/>
        </w:rPr>
        <w:t xml:space="preserve"> </w:t>
      </w:r>
      <w:r>
        <w:rPr>
          <w:rFonts w:hint="cs"/>
          <w:rtl/>
        </w:rPr>
        <w:t>שלילת הכרה ממכינות המעודדות סירוב פקודה והסתה), התש"ף</w:t>
      </w:r>
      <w:r w:rsidR="002405CD">
        <w:rPr>
          <w:rFonts w:hint="eastAsia"/>
          <w:rtl/>
        </w:rPr>
        <w:t>–</w:t>
      </w:r>
      <w:r>
        <w:rPr>
          <w:rFonts w:hint="cs"/>
          <w:rtl/>
        </w:rPr>
        <w:t>2020</w:t>
      </w:r>
      <w:bookmarkEnd w:id="7"/>
    </w:p>
    <w:p w14:paraId="7F6961AE" w14:textId="77777777" w:rsidR="00E13C27" w:rsidRDefault="00E13C27" w:rsidP="0021633A">
      <w:pPr>
        <w:pStyle w:val="HeadDivreiHesber"/>
        <w:spacing w:before="0" w:after="0"/>
        <w:rPr>
          <w:rtl/>
        </w:rPr>
      </w:pPr>
    </w:p>
    <w:tbl>
      <w:tblPr>
        <w:bidiVisual/>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624"/>
        <w:gridCol w:w="4023"/>
      </w:tblGrid>
      <w:tr w:rsidR="00B86ACC" w:rsidRPr="009E47E6" w14:paraId="46E500D2" w14:textId="77777777" w:rsidTr="00D92536">
        <w:trPr>
          <w:cantSplit/>
        </w:trPr>
        <w:tc>
          <w:tcPr>
            <w:tcW w:w="1871" w:type="dxa"/>
            <w:tcBorders>
              <w:top w:val="nil"/>
              <w:left w:val="nil"/>
              <w:bottom w:val="nil"/>
              <w:right w:val="nil"/>
            </w:tcBorders>
            <w:shd w:val="clear" w:color="auto" w:fill="auto"/>
            <w:tcMar>
              <w:top w:w="91" w:type="dxa"/>
              <w:left w:w="0" w:type="dxa"/>
              <w:bottom w:w="91" w:type="dxa"/>
              <w:right w:w="0" w:type="dxa"/>
            </w:tcMar>
          </w:tcPr>
          <w:p w14:paraId="156ED121" w14:textId="77777777" w:rsidR="00B86ACC" w:rsidRPr="009E47E6" w:rsidRDefault="00B86ACC" w:rsidP="00AB3D85">
            <w:pPr>
              <w:pStyle w:val="TableSideHeading"/>
              <w:rPr>
                <w:rtl/>
              </w:rPr>
            </w:pPr>
            <w:r w:rsidRPr="009E47E6">
              <w:rPr>
                <w:rFonts w:hint="cs"/>
                <w:rtl/>
              </w:rPr>
              <w:t>הוספת סעיף</w:t>
            </w:r>
            <w:r>
              <w:rPr>
                <w:rFonts w:hint="cs"/>
                <w:rtl/>
              </w:rPr>
              <w:t xml:space="preserve"> 2א</w:t>
            </w:r>
          </w:p>
        </w:tc>
        <w:tc>
          <w:tcPr>
            <w:tcW w:w="624" w:type="dxa"/>
            <w:tcBorders>
              <w:top w:val="nil"/>
              <w:left w:val="nil"/>
              <w:bottom w:val="nil"/>
              <w:right w:val="nil"/>
            </w:tcBorders>
            <w:shd w:val="clear" w:color="auto" w:fill="auto"/>
            <w:tcMar>
              <w:top w:w="91" w:type="dxa"/>
              <w:left w:w="0" w:type="dxa"/>
              <w:bottom w:w="91" w:type="dxa"/>
              <w:right w:w="0" w:type="dxa"/>
            </w:tcMar>
          </w:tcPr>
          <w:p w14:paraId="5759ACD6" w14:textId="77777777" w:rsidR="00B86ACC" w:rsidRPr="009E47E6" w:rsidRDefault="00B86ACC" w:rsidP="00AB3D85">
            <w:pPr>
              <w:pStyle w:val="TableText"/>
              <w:rPr>
                <w:rtl/>
              </w:rPr>
            </w:pPr>
            <w:r>
              <w:rPr>
                <w:rFonts w:hint="cs"/>
                <w:rtl/>
              </w:rPr>
              <w:t>1.</w:t>
            </w:r>
          </w:p>
        </w:tc>
        <w:tc>
          <w:tcPr>
            <w:tcW w:w="7143" w:type="dxa"/>
            <w:gridSpan w:val="6"/>
            <w:tcBorders>
              <w:top w:val="nil"/>
              <w:left w:val="nil"/>
              <w:bottom w:val="nil"/>
              <w:right w:val="nil"/>
            </w:tcBorders>
            <w:shd w:val="clear" w:color="auto" w:fill="auto"/>
            <w:tcMar>
              <w:top w:w="91" w:type="dxa"/>
              <w:left w:w="0" w:type="dxa"/>
              <w:bottom w:w="91" w:type="dxa"/>
              <w:right w:w="0" w:type="dxa"/>
            </w:tcMar>
          </w:tcPr>
          <w:p w14:paraId="26488362" w14:textId="77777777" w:rsidR="00B86ACC" w:rsidRPr="009E47E6" w:rsidRDefault="00B86ACC" w:rsidP="00D92536">
            <w:pPr>
              <w:pStyle w:val="TableBlock"/>
              <w:rPr>
                <w:rtl/>
              </w:rPr>
            </w:pPr>
            <w:r>
              <w:rPr>
                <w:rFonts w:hint="cs"/>
                <w:rtl/>
              </w:rPr>
              <w:t xml:space="preserve">בחוק </w:t>
            </w:r>
            <w:r w:rsidRPr="00A81EA3">
              <w:rPr>
                <w:rtl/>
              </w:rPr>
              <w:t xml:space="preserve">המכינות הקדם-צבאיות, </w:t>
            </w:r>
            <w:r>
              <w:rPr>
                <w:rFonts w:hint="cs"/>
                <w:rtl/>
              </w:rPr>
              <w:t>ה</w:t>
            </w:r>
            <w:r w:rsidRPr="00A81EA3">
              <w:rPr>
                <w:rtl/>
              </w:rPr>
              <w:t>תשס"ח</w:t>
            </w:r>
            <w:r>
              <w:rPr>
                <w:rFonts w:hint="cs"/>
                <w:rtl/>
              </w:rPr>
              <w:t>–</w:t>
            </w:r>
            <w:r w:rsidRPr="00A81EA3">
              <w:rPr>
                <w:rtl/>
              </w:rPr>
              <w:t>2008</w:t>
            </w:r>
            <w:r w:rsidRPr="002405CD">
              <w:rPr>
                <w:rStyle w:val="a5"/>
                <w:rFonts w:ascii="David" w:hAnsi="David"/>
                <w:sz w:val="26"/>
                <w:rtl/>
              </w:rPr>
              <w:footnoteReference w:id="2"/>
            </w:r>
            <w:r>
              <w:rPr>
                <w:rFonts w:hint="cs"/>
                <w:rtl/>
              </w:rPr>
              <w:t xml:space="preserve"> (להלן </w:t>
            </w:r>
            <w:r>
              <w:rPr>
                <w:rtl/>
              </w:rPr>
              <w:t>–</w:t>
            </w:r>
            <w:r>
              <w:rPr>
                <w:rFonts w:hint="cs"/>
                <w:rtl/>
              </w:rPr>
              <w:t xml:space="preserve"> החוק העיקרי), אחרי סעיף 2 יבוא:</w:t>
            </w:r>
          </w:p>
        </w:tc>
      </w:tr>
      <w:tr w:rsidR="00B86ACC" w:rsidRPr="00056B1B" w14:paraId="450F421A" w14:textId="77777777" w:rsidTr="00D92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1871" w:type="dxa"/>
          </w:tcPr>
          <w:p w14:paraId="5A5D574C" w14:textId="77777777" w:rsidR="00B86ACC" w:rsidRDefault="00B86ACC" w:rsidP="00AB3D85">
            <w:pPr>
              <w:pStyle w:val="TableSideHeading"/>
              <w:keepLines w:val="0"/>
            </w:pPr>
          </w:p>
        </w:tc>
        <w:tc>
          <w:tcPr>
            <w:tcW w:w="624" w:type="dxa"/>
          </w:tcPr>
          <w:p w14:paraId="49EAE4BD" w14:textId="77777777" w:rsidR="00B86ACC" w:rsidRDefault="00B86ACC" w:rsidP="00AB3D85">
            <w:pPr>
              <w:pStyle w:val="TableText"/>
              <w:keepLines w:val="0"/>
            </w:pPr>
          </w:p>
        </w:tc>
        <w:tc>
          <w:tcPr>
            <w:tcW w:w="1872" w:type="dxa"/>
            <w:gridSpan w:val="3"/>
          </w:tcPr>
          <w:p w14:paraId="5355F03D" w14:textId="77777777" w:rsidR="00B86ACC" w:rsidRDefault="00B86ACC" w:rsidP="00AB3D85">
            <w:pPr>
              <w:pStyle w:val="TableInnerSideHeading"/>
            </w:pPr>
            <w:r>
              <w:rPr>
                <w:rFonts w:hint="cs"/>
                <w:rtl/>
              </w:rPr>
              <w:t>"ב</w:t>
            </w:r>
            <w:r w:rsidRPr="009E47E6">
              <w:rPr>
                <w:rFonts w:hint="cs"/>
                <w:rtl/>
              </w:rPr>
              <w:t xml:space="preserve">יטול הכרה במכינה </w:t>
            </w:r>
          </w:p>
        </w:tc>
        <w:tc>
          <w:tcPr>
            <w:tcW w:w="624" w:type="dxa"/>
          </w:tcPr>
          <w:p w14:paraId="22EE3C3D" w14:textId="77777777" w:rsidR="00B86ACC" w:rsidRDefault="00B86ACC" w:rsidP="00AB3D85">
            <w:pPr>
              <w:pStyle w:val="TableText"/>
            </w:pPr>
            <w:r>
              <w:rPr>
                <w:rFonts w:hint="cs"/>
                <w:rtl/>
              </w:rPr>
              <w:t>2א.</w:t>
            </w:r>
          </w:p>
        </w:tc>
        <w:tc>
          <w:tcPr>
            <w:tcW w:w="4647" w:type="dxa"/>
            <w:gridSpan w:val="2"/>
          </w:tcPr>
          <w:p w14:paraId="2889AF1A" w14:textId="77777777" w:rsidR="00B86ACC" w:rsidRPr="00056B1B" w:rsidRDefault="00B86ACC" w:rsidP="00D92536">
            <w:pPr>
              <w:pStyle w:val="TableBlock"/>
            </w:pPr>
            <w:r>
              <w:rPr>
                <w:rFonts w:hint="cs"/>
                <w:rtl/>
              </w:rPr>
              <w:t>(א)</w:t>
            </w:r>
            <w:r>
              <w:rPr>
                <w:rtl/>
              </w:rPr>
              <w:tab/>
            </w:r>
            <w:r w:rsidRPr="00056B1B">
              <w:rPr>
                <w:rFonts w:hint="cs"/>
                <w:rtl/>
              </w:rPr>
              <w:t>מכינה אשר הוכרה לפי סעיף 2 ואשר מתקיים בה אחד מאלה</w:t>
            </w:r>
            <w:r>
              <w:rPr>
                <w:rFonts w:hint="cs"/>
                <w:rtl/>
              </w:rPr>
              <w:t>,</w:t>
            </w:r>
            <w:r w:rsidRPr="00056B1B">
              <w:rPr>
                <w:rFonts w:hint="cs"/>
                <w:rtl/>
              </w:rPr>
              <w:t xml:space="preserve"> תבוטל ההכרה</w:t>
            </w:r>
            <w:r>
              <w:rPr>
                <w:rFonts w:hint="cs"/>
                <w:rtl/>
              </w:rPr>
              <w:t xml:space="preserve"> בה</w:t>
            </w:r>
            <w:r w:rsidRPr="00056B1B">
              <w:rPr>
                <w:rFonts w:hint="cs"/>
                <w:rtl/>
              </w:rPr>
              <w:t xml:space="preserve"> לתקופה שאינה פחותה משלוש שנים</w:t>
            </w:r>
            <w:r>
              <w:rPr>
                <w:rFonts w:hint="cs"/>
                <w:rtl/>
              </w:rPr>
              <w:t>:</w:t>
            </w:r>
          </w:p>
        </w:tc>
      </w:tr>
      <w:tr w:rsidR="00B86ACC" w14:paraId="39FAF3A8" w14:textId="77777777" w:rsidTr="00D92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1871" w:type="dxa"/>
          </w:tcPr>
          <w:p w14:paraId="7567A81F" w14:textId="77777777" w:rsidR="00B86ACC" w:rsidRDefault="00B86ACC" w:rsidP="00AB3D85">
            <w:pPr>
              <w:pStyle w:val="TableSideHeading"/>
            </w:pPr>
          </w:p>
        </w:tc>
        <w:tc>
          <w:tcPr>
            <w:tcW w:w="624" w:type="dxa"/>
          </w:tcPr>
          <w:p w14:paraId="24A9B4CF" w14:textId="77777777" w:rsidR="00B86ACC" w:rsidRDefault="00B86ACC" w:rsidP="00AB3D85">
            <w:pPr>
              <w:pStyle w:val="TableText"/>
            </w:pPr>
          </w:p>
        </w:tc>
        <w:tc>
          <w:tcPr>
            <w:tcW w:w="624" w:type="dxa"/>
          </w:tcPr>
          <w:p w14:paraId="1D8A334E" w14:textId="77777777" w:rsidR="00B86ACC" w:rsidRDefault="00B86ACC" w:rsidP="00AB3D85">
            <w:pPr>
              <w:pStyle w:val="TableText"/>
            </w:pPr>
          </w:p>
        </w:tc>
        <w:tc>
          <w:tcPr>
            <w:tcW w:w="624" w:type="dxa"/>
          </w:tcPr>
          <w:p w14:paraId="59DF0376" w14:textId="77777777" w:rsidR="00B86ACC" w:rsidRDefault="00B86ACC" w:rsidP="00AB3D85">
            <w:pPr>
              <w:pStyle w:val="TableText"/>
            </w:pPr>
          </w:p>
        </w:tc>
        <w:tc>
          <w:tcPr>
            <w:tcW w:w="624" w:type="dxa"/>
          </w:tcPr>
          <w:p w14:paraId="5B94B4AF" w14:textId="77777777" w:rsidR="00B86ACC" w:rsidRDefault="00B86ACC" w:rsidP="00AB3D85">
            <w:pPr>
              <w:pStyle w:val="TableText"/>
            </w:pPr>
          </w:p>
        </w:tc>
        <w:tc>
          <w:tcPr>
            <w:tcW w:w="624" w:type="dxa"/>
          </w:tcPr>
          <w:p w14:paraId="72E49036" w14:textId="77777777" w:rsidR="00B86ACC" w:rsidRDefault="00B86ACC" w:rsidP="00AB3D85">
            <w:pPr>
              <w:pStyle w:val="TableText"/>
            </w:pPr>
          </w:p>
        </w:tc>
        <w:tc>
          <w:tcPr>
            <w:tcW w:w="624" w:type="dxa"/>
          </w:tcPr>
          <w:p w14:paraId="457D645F" w14:textId="77777777" w:rsidR="00B86ACC" w:rsidRDefault="00B86ACC" w:rsidP="00AB3D85">
            <w:pPr>
              <w:pStyle w:val="TableText"/>
            </w:pPr>
          </w:p>
        </w:tc>
        <w:tc>
          <w:tcPr>
            <w:tcW w:w="4023" w:type="dxa"/>
          </w:tcPr>
          <w:p w14:paraId="76807AFB" w14:textId="77777777" w:rsidR="00B86ACC" w:rsidRDefault="00B86ACC" w:rsidP="00D92536">
            <w:pPr>
              <w:pStyle w:val="TableBlock"/>
            </w:pPr>
            <w:r>
              <w:rPr>
                <w:rFonts w:hint="cs"/>
                <w:rtl/>
              </w:rPr>
              <w:t>(1)</w:t>
            </w:r>
            <w:r>
              <w:rPr>
                <w:rtl/>
              </w:rPr>
              <w:tab/>
            </w:r>
            <w:r w:rsidRPr="00545941">
              <w:rPr>
                <w:rFonts w:hint="cs"/>
                <w:rtl/>
              </w:rPr>
              <w:t>ראש</w:t>
            </w:r>
            <w:r>
              <w:rPr>
                <w:rFonts w:hint="cs"/>
                <w:rtl/>
              </w:rPr>
              <w:t>י</w:t>
            </w:r>
            <w:r w:rsidRPr="00545941">
              <w:rPr>
                <w:rFonts w:hint="cs"/>
                <w:rtl/>
              </w:rPr>
              <w:t xml:space="preserve"> המכינה</w:t>
            </w:r>
            <w:r>
              <w:rPr>
                <w:rFonts w:hint="cs"/>
                <w:rtl/>
              </w:rPr>
              <w:t xml:space="preserve"> או אחד מאנשי הסגל החינוכי הקבוע בה </w:t>
            </w:r>
            <w:r w:rsidRPr="009E47E6">
              <w:rPr>
                <w:rFonts w:hint="cs"/>
                <w:rtl/>
              </w:rPr>
              <w:t>קוראים בפומבי לסירוב פקודה, או מנצלים את תפקידם ואת מעמדם הרוחני בפני התלמידים כדי לעודד סירוב פקודה</w:t>
            </w:r>
            <w:r>
              <w:rPr>
                <w:rFonts w:hint="cs"/>
                <w:rtl/>
              </w:rPr>
              <w:t xml:space="preserve"> </w:t>
            </w:r>
            <w:r w:rsidRPr="00A746D3">
              <w:rPr>
                <w:rFonts w:hint="cs"/>
                <w:rtl/>
              </w:rPr>
              <w:t>בצבא הגנה לישראל</w:t>
            </w:r>
            <w:r>
              <w:rPr>
                <w:rFonts w:hint="cs"/>
                <w:rtl/>
              </w:rPr>
              <w:t>;</w:t>
            </w:r>
          </w:p>
        </w:tc>
      </w:tr>
      <w:tr w:rsidR="00B86ACC" w14:paraId="4C63076C" w14:textId="77777777" w:rsidTr="00D92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1871" w:type="dxa"/>
          </w:tcPr>
          <w:p w14:paraId="6B625343" w14:textId="77777777" w:rsidR="00B86ACC" w:rsidRDefault="00B86ACC" w:rsidP="00AB3D85">
            <w:pPr>
              <w:pStyle w:val="TableSideHeading"/>
            </w:pPr>
          </w:p>
        </w:tc>
        <w:tc>
          <w:tcPr>
            <w:tcW w:w="624" w:type="dxa"/>
          </w:tcPr>
          <w:p w14:paraId="36212C5F" w14:textId="77777777" w:rsidR="00B86ACC" w:rsidRDefault="00B86ACC" w:rsidP="00AB3D85">
            <w:pPr>
              <w:pStyle w:val="TableText"/>
            </w:pPr>
          </w:p>
        </w:tc>
        <w:tc>
          <w:tcPr>
            <w:tcW w:w="624" w:type="dxa"/>
          </w:tcPr>
          <w:p w14:paraId="31B01C3E" w14:textId="77777777" w:rsidR="00B86ACC" w:rsidRDefault="00B86ACC" w:rsidP="00AB3D85">
            <w:pPr>
              <w:pStyle w:val="TableText"/>
            </w:pPr>
          </w:p>
        </w:tc>
        <w:tc>
          <w:tcPr>
            <w:tcW w:w="624" w:type="dxa"/>
          </w:tcPr>
          <w:p w14:paraId="4C38474C" w14:textId="77777777" w:rsidR="00B86ACC" w:rsidRDefault="00B86ACC" w:rsidP="00AB3D85">
            <w:pPr>
              <w:pStyle w:val="TableText"/>
            </w:pPr>
          </w:p>
        </w:tc>
        <w:tc>
          <w:tcPr>
            <w:tcW w:w="624" w:type="dxa"/>
          </w:tcPr>
          <w:p w14:paraId="2614011B" w14:textId="77777777" w:rsidR="00B86ACC" w:rsidRDefault="00B86ACC" w:rsidP="00AB3D85">
            <w:pPr>
              <w:pStyle w:val="TableText"/>
            </w:pPr>
          </w:p>
        </w:tc>
        <w:tc>
          <w:tcPr>
            <w:tcW w:w="624" w:type="dxa"/>
          </w:tcPr>
          <w:p w14:paraId="687B421F" w14:textId="77777777" w:rsidR="00B86ACC" w:rsidRDefault="00B86ACC" w:rsidP="00AB3D85">
            <w:pPr>
              <w:pStyle w:val="TableText"/>
            </w:pPr>
          </w:p>
        </w:tc>
        <w:tc>
          <w:tcPr>
            <w:tcW w:w="624" w:type="dxa"/>
          </w:tcPr>
          <w:p w14:paraId="5BA48CE1" w14:textId="77777777" w:rsidR="00B86ACC" w:rsidRDefault="00B86ACC" w:rsidP="00AB3D85">
            <w:pPr>
              <w:pStyle w:val="TableText"/>
            </w:pPr>
          </w:p>
        </w:tc>
        <w:tc>
          <w:tcPr>
            <w:tcW w:w="4023" w:type="dxa"/>
          </w:tcPr>
          <w:p w14:paraId="52BD89F9" w14:textId="77777777" w:rsidR="00B86ACC" w:rsidRDefault="00B86ACC" w:rsidP="00D92536">
            <w:pPr>
              <w:pStyle w:val="TableBlock"/>
              <w:rPr>
                <w:rtl/>
              </w:rPr>
            </w:pPr>
            <w:r>
              <w:rPr>
                <w:rFonts w:hint="cs"/>
                <w:rtl/>
              </w:rPr>
              <w:t>(2)</w:t>
            </w:r>
            <w:r>
              <w:rPr>
                <w:rtl/>
              </w:rPr>
              <w:tab/>
            </w:r>
            <w:r w:rsidRPr="00545941">
              <w:rPr>
                <w:rFonts w:hint="cs"/>
                <w:rtl/>
              </w:rPr>
              <w:t>ראש</w:t>
            </w:r>
            <w:r>
              <w:rPr>
                <w:rFonts w:hint="cs"/>
                <w:rtl/>
              </w:rPr>
              <w:t>י</w:t>
            </w:r>
            <w:r w:rsidRPr="00545941">
              <w:rPr>
                <w:rFonts w:hint="cs"/>
                <w:rtl/>
              </w:rPr>
              <w:t xml:space="preserve"> המכינה</w:t>
            </w:r>
            <w:r>
              <w:rPr>
                <w:rFonts w:hint="cs"/>
                <w:rtl/>
              </w:rPr>
              <w:t xml:space="preserve"> או אחד מאנשי הסגל החינוכי הקבוע בה</w:t>
            </w:r>
            <w:r w:rsidRPr="00545941">
              <w:rPr>
                <w:rFonts w:hint="cs"/>
                <w:rtl/>
              </w:rPr>
              <w:t xml:space="preserve"> </w:t>
            </w:r>
            <w:r>
              <w:rPr>
                <w:rFonts w:hint="cs"/>
                <w:rtl/>
              </w:rPr>
              <w:t>קוראים בפומבי</w:t>
            </w:r>
            <w:r w:rsidRPr="009E47E6">
              <w:rPr>
                <w:rFonts w:hint="cs"/>
                <w:rtl/>
              </w:rPr>
              <w:t>, או מנצלים את תפקידם ואת מעמדם הרוחני בפני התלמידים כדי ל</w:t>
            </w:r>
            <w:r>
              <w:rPr>
                <w:rFonts w:hint="cs"/>
                <w:rtl/>
              </w:rPr>
              <w:t>הסית</w:t>
            </w:r>
            <w:r w:rsidRPr="009E47E6">
              <w:rPr>
                <w:rFonts w:hint="cs"/>
                <w:rtl/>
              </w:rPr>
              <w:t xml:space="preserve"> </w:t>
            </w:r>
            <w:r w:rsidRPr="00670470">
              <w:rPr>
                <w:rFonts w:hint="cs"/>
                <w:rtl/>
              </w:rPr>
              <w:t>או לעודד רדיפה, השפלה, ביזוי, גילוי איבה, עוינות או אלימות, או גרימת מדנים כלפי ציבור או חלקים של האוכלוס</w:t>
            </w:r>
            <w:r>
              <w:rPr>
                <w:rFonts w:hint="cs"/>
                <w:rtl/>
              </w:rPr>
              <w:t>י</w:t>
            </w:r>
            <w:r w:rsidRPr="00670470">
              <w:rPr>
                <w:rFonts w:hint="cs"/>
                <w:rtl/>
              </w:rPr>
              <w:t xml:space="preserve">יה, </w:t>
            </w:r>
            <w:r w:rsidRPr="00670470">
              <w:rPr>
                <w:rtl/>
              </w:rPr>
              <w:t>והכל מחמת דת, השתייכות לקבוצה</w:t>
            </w:r>
            <w:r w:rsidRPr="00670470">
              <w:rPr>
                <w:rFonts w:hint="cs"/>
                <w:rtl/>
              </w:rPr>
              <w:t xml:space="preserve"> או זרם</w:t>
            </w:r>
            <w:r w:rsidRPr="00670470">
              <w:rPr>
                <w:rtl/>
              </w:rPr>
              <w:t xml:space="preserve"> דתי</w:t>
            </w:r>
            <w:r>
              <w:rPr>
                <w:rtl/>
              </w:rPr>
              <w:t>, מוצא עדתי, מגדר</w:t>
            </w:r>
            <w:r>
              <w:rPr>
                <w:rFonts w:hint="cs"/>
                <w:rtl/>
              </w:rPr>
              <w:t xml:space="preserve"> או </w:t>
            </w:r>
            <w:r w:rsidRPr="00670470">
              <w:rPr>
                <w:rtl/>
              </w:rPr>
              <w:t>נטייה מינית</w:t>
            </w:r>
            <w:r>
              <w:rPr>
                <w:rFonts w:hint="cs"/>
                <w:rtl/>
              </w:rPr>
              <w:t>.</w:t>
            </w:r>
          </w:p>
        </w:tc>
      </w:tr>
      <w:tr w:rsidR="00B86ACC" w14:paraId="7C706E1E" w14:textId="77777777" w:rsidTr="00D92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1871" w:type="dxa"/>
          </w:tcPr>
          <w:p w14:paraId="0E209EA4" w14:textId="77777777" w:rsidR="00B86ACC" w:rsidRDefault="00B86ACC" w:rsidP="00AB3D85">
            <w:pPr>
              <w:pStyle w:val="TableSideHeading"/>
            </w:pPr>
          </w:p>
        </w:tc>
        <w:tc>
          <w:tcPr>
            <w:tcW w:w="624" w:type="dxa"/>
          </w:tcPr>
          <w:p w14:paraId="1472BC58" w14:textId="77777777" w:rsidR="00B86ACC" w:rsidRDefault="00B86ACC" w:rsidP="00AB3D85">
            <w:pPr>
              <w:pStyle w:val="TableText"/>
            </w:pPr>
          </w:p>
        </w:tc>
        <w:tc>
          <w:tcPr>
            <w:tcW w:w="624" w:type="dxa"/>
          </w:tcPr>
          <w:p w14:paraId="10B02961" w14:textId="77777777" w:rsidR="00B86ACC" w:rsidRDefault="00B86ACC" w:rsidP="00AB3D85">
            <w:pPr>
              <w:pStyle w:val="TableText"/>
            </w:pPr>
          </w:p>
        </w:tc>
        <w:tc>
          <w:tcPr>
            <w:tcW w:w="624" w:type="dxa"/>
          </w:tcPr>
          <w:p w14:paraId="51302490" w14:textId="77777777" w:rsidR="00B86ACC" w:rsidRDefault="00B86ACC" w:rsidP="00AB3D85">
            <w:pPr>
              <w:pStyle w:val="TableText"/>
            </w:pPr>
          </w:p>
        </w:tc>
        <w:tc>
          <w:tcPr>
            <w:tcW w:w="624" w:type="dxa"/>
          </w:tcPr>
          <w:p w14:paraId="3EF7763D" w14:textId="77777777" w:rsidR="00B86ACC" w:rsidRDefault="00B86ACC" w:rsidP="00AB3D85">
            <w:pPr>
              <w:pStyle w:val="TableText"/>
            </w:pPr>
          </w:p>
        </w:tc>
        <w:tc>
          <w:tcPr>
            <w:tcW w:w="624" w:type="dxa"/>
          </w:tcPr>
          <w:p w14:paraId="367FD867" w14:textId="77777777" w:rsidR="00B86ACC" w:rsidRDefault="00B86ACC" w:rsidP="00AB3D85">
            <w:pPr>
              <w:pStyle w:val="TableText"/>
            </w:pPr>
          </w:p>
        </w:tc>
        <w:tc>
          <w:tcPr>
            <w:tcW w:w="4647" w:type="dxa"/>
            <w:gridSpan w:val="2"/>
          </w:tcPr>
          <w:p w14:paraId="619DC3E1" w14:textId="77777777" w:rsidR="00B86ACC" w:rsidRDefault="00B86ACC" w:rsidP="00D92536">
            <w:pPr>
              <w:pStyle w:val="TableBlock"/>
            </w:pPr>
            <w:r>
              <w:rPr>
                <w:rFonts w:hint="cs"/>
                <w:rtl/>
              </w:rPr>
              <w:t>(ב)</w:t>
            </w:r>
            <w:r>
              <w:rPr>
                <w:rtl/>
              </w:rPr>
              <w:tab/>
            </w:r>
            <w:r>
              <w:rPr>
                <w:rFonts w:hint="cs"/>
                <w:rtl/>
              </w:rPr>
              <w:t>ביטול הכרה כאמור בסעיף קטן (א) ייעשה רק לאחר שניתנה למכינה או למי מטעמה הזדמנות להשמיע את טענותיה בפני המנהל הכללי של משרד החינוך."</w:t>
            </w:r>
          </w:p>
        </w:tc>
      </w:tr>
    </w:tbl>
    <w:p w14:paraId="0B53C175" w14:textId="77777777" w:rsidR="002405CD" w:rsidRDefault="002405CD" w:rsidP="002D1EE3">
      <w:pPr>
        <w:pStyle w:val="HeadDivreiHesber"/>
        <w:rPr>
          <w:rtl/>
        </w:rPr>
      </w:pPr>
    </w:p>
    <w:p w14:paraId="7F6961CA" w14:textId="77777777" w:rsidR="002D1EE3" w:rsidRPr="002405CD" w:rsidRDefault="002D1EE3" w:rsidP="00D92536">
      <w:pPr>
        <w:pStyle w:val="HeadDivreiHesber"/>
        <w:rPr>
          <w:rtl/>
        </w:rPr>
      </w:pPr>
      <w:r w:rsidRPr="002405CD">
        <w:rPr>
          <w:rFonts w:hint="eastAsia"/>
          <w:rtl/>
        </w:rPr>
        <w:t>דברי</w:t>
      </w:r>
      <w:r w:rsidRPr="002405CD">
        <w:rPr>
          <w:rtl/>
        </w:rPr>
        <w:t xml:space="preserve"> </w:t>
      </w:r>
      <w:r w:rsidRPr="002405CD">
        <w:rPr>
          <w:rFonts w:hint="eastAsia"/>
          <w:rtl/>
        </w:rPr>
        <w:t>הסבר</w:t>
      </w:r>
    </w:p>
    <w:p w14:paraId="7CA29A54" w14:textId="77777777" w:rsidR="00B86ACC" w:rsidRPr="002405CD" w:rsidRDefault="00B86ACC" w:rsidP="007D5C64">
      <w:pPr>
        <w:pStyle w:val="Hesber"/>
        <w:spacing w:line="276" w:lineRule="auto"/>
        <w:rPr>
          <w:rtl/>
        </w:rPr>
      </w:pPr>
      <w:r w:rsidRPr="002405CD">
        <w:rPr>
          <w:rFonts w:hint="eastAsia"/>
          <w:rtl/>
        </w:rPr>
        <w:t>מ</w:t>
      </w:r>
      <w:r w:rsidRPr="002405CD">
        <w:rPr>
          <w:rtl/>
        </w:rPr>
        <w:t>כינ</w:t>
      </w:r>
      <w:r w:rsidRPr="002405CD">
        <w:rPr>
          <w:rFonts w:hint="eastAsia"/>
          <w:rtl/>
        </w:rPr>
        <w:t>ות</w:t>
      </w:r>
      <w:r w:rsidRPr="002405CD">
        <w:rPr>
          <w:rtl/>
        </w:rPr>
        <w:t xml:space="preserve"> קדם-צבאי</w:t>
      </w:r>
      <w:r w:rsidRPr="002405CD">
        <w:rPr>
          <w:rFonts w:hint="eastAsia"/>
          <w:rtl/>
        </w:rPr>
        <w:t>ו</w:t>
      </w:r>
      <w:r w:rsidRPr="002405CD">
        <w:rPr>
          <w:rtl/>
        </w:rPr>
        <w:t>ת</w:t>
      </w:r>
      <w:r w:rsidRPr="002405CD">
        <w:t> </w:t>
      </w:r>
      <w:r w:rsidRPr="002405CD">
        <w:rPr>
          <w:rtl/>
        </w:rPr>
        <w:t xml:space="preserve">(להלן </w:t>
      </w:r>
      <w:r w:rsidRPr="002405CD">
        <w:rPr>
          <w:rFonts w:hint="eastAsia"/>
          <w:rtl/>
        </w:rPr>
        <w:t>–</w:t>
      </w:r>
      <w:r w:rsidRPr="002405CD">
        <w:rPr>
          <w:rtl/>
        </w:rPr>
        <w:t xml:space="preserve"> מכינות) ה</w:t>
      </w:r>
      <w:r w:rsidRPr="002405CD">
        <w:rPr>
          <w:rFonts w:hint="eastAsia"/>
          <w:rtl/>
        </w:rPr>
        <w:t>ן</w:t>
      </w:r>
      <w:r w:rsidRPr="002405CD">
        <w:rPr>
          <w:rtl/>
        </w:rPr>
        <w:t xml:space="preserve"> מסגרות חינוכי</w:t>
      </w:r>
      <w:r w:rsidRPr="002405CD">
        <w:rPr>
          <w:rFonts w:hint="eastAsia"/>
          <w:rtl/>
        </w:rPr>
        <w:t>ו</w:t>
      </w:r>
      <w:r w:rsidRPr="002405CD">
        <w:rPr>
          <w:rtl/>
        </w:rPr>
        <w:t>ת ה</w:t>
      </w:r>
      <w:r w:rsidRPr="002405CD">
        <w:rPr>
          <w:rFonts w:hint="eastAsia"/>
          <w:rtl/>
        </w:rPr>
        <w:t>מכינות</w:t>
      </w:r>
      <w:r w:rsidRPr="002405CD">
        <w:rPr>
          <w:rtl/>
        </w:rPr>
        <w:t xml:space="preserve"> </w:t>
      </w:r>
      <w:r w:rsidRPr="002405CD">
        <w:rPr>
          <w:rFonts w:hint="eastAsia"/>
          <w:rtl/>
        </w:rPr>
        <w:t>את</w:t>
      </w:r>
      <w:r w:rsidRPr="002405CD">
        <w:rPr>
          <w:rtl/>
        </w:rPr>
        <w:t xml:space="preserve"> </w:t>
      </w:r>
      <w:r w:rsidRPr="002405CD">
        <w:rPr>
          <w:rFonts w:hint="eastAsia"/>
          <w:rtl/>
        </w:rPr>
        <w:t>תלמידיהן</w:t>
      </w:r>
      <w:r w:rsidRPr="002405CD">
        <w:rPr>
          <w:rtl/>
        </w:rPr>
        <w:t xml:space="preserve"> לשירות </w:t>
      </w:r>
      <w:r w:rsidRPr="002405CD">
        <w:rPr>
          <w:rFonts w:hint="eastAsia"/>
          <w:rtl/>
        </w:rPr>
        <w:t>צבאי</w:t>
      </w:r>
      <w:r w:rsidRPr="002405CD">
        <w:rPr>
          <w:rtl/>
        </w:rPr>
        <w:t xml:space="preserve"> </w:t>
      </w:r>
      <w:r w:rsidRPr="002405CD">
        <w:rPr>
          <w:rFonts w:hint="eastAsia"/>
          <w:rtl/>
        </w:rPr>
        <w:t>ומקדמות</w:t>
      </w:r>
      <w:r w:rsidRPr="002405CD">
        <w:rPr>
          <w:rtl/>
        </w:rPr>
        <w:t xml:space="preserve"> </w:t>
      </w:r>
      <w:r w:rsidRPr="002405CD">
        <w:rPr>
          <w:rFonts w:hint="eastAsia"/>
          <w:rtl/>
        </w:rPr>
        <w:t>חינוך</w:t>
      </w:r>
      <w:r w:rsidRPr="002405CD">
        <w:rPr>
          <w:rtl/>
        </w:rPr>
        <w:t xml:space="preserve"> </w:t>
      </w:r>
      <w:r w:rsidRPr="002405CD">
        <w:rPr>
          <w:rFonts w:hint="eastAsia"/>
          <w:rtl/>
        </w:rPr>
        <w:t>ערכי</w:t>
      </w:r>
      <w:r w:rsidRPr="002405CD">
        <w:rPr>
          <w:rtl/>
        </w:rPr>
        <w:t xml:space="preserve"> </w:t>
      </w:r>
      <w:r w:rsidRPr="002405CD">
        <w:rPr>
          <w:rFonts w:hint="eastAsia"/>
          <w:rtl/>
        </w:rPr>
        <w:t>למעורבות</w:t>
      </w:r>
      <w:r w:rsidRPr="002405CD">
        <w:rPr>
          <w:rtl/>
        </w:rPr>
        <w:t xml:space="preserve"> חברתית ואזרחית. אלפי בני נוער דוחים את שירותם הצבאי </w:t>
      </w:r>
      <w:r w:rsidRPr="002405CD">
        <w:rPr>
          <w:rFonts w:hint="eastAsia"/>
          <w:rtl/>
        </w:rPr>
        <w:t>לתקופה</w:t>
      </w:r>
      <w:r w:rsidRPr="002405CD">
        <w:rPr>
          <w:rtl/>
        </w:rPr>
        <w:t xml:space="preserve"> של שנה כדי להצטרף למכינה ולתרום מזמנם וכשרונם לפעילויות חינוכיות ברחבי הארץ. פעולתן של המכינות הוסדרה בחוק המכינות הקדם-צבאיות, התשס"ח</w:t>
      </w:r>
      <w:r w:rsidRPr="002405CD">
        <w:rPr>
          <w:rFonts w:hint="eastAsia"/>
          <w:rtl/>
        </w:rPr>
        <w:t>–</w:t>
      </w:r>
      <w:r w:rsidRPr="002405CD">
        <w:rPr>
          <w:rtl/>
        </w:rPr>
        <w:t xml:space="preserve">2008. המכינות פועלות במסגרת שיתוף פעולה בין משרד החינוך למשרד הביטחון וממומנות מתקציבי שני משרדים אלו. כשליש מהמכינות </w:t>
      </w:r>
      <w:r w:rsidRPr="002405CD">
        <w:rPr>
          <w:rFonts w:hint="eastAsia"/>
          <w:rtl/>
        </w:rPr>
        <w:t>הן</w:t>
      </w:r>
      <w:r w:rsidRPr="002405CD">
        <w:rPr>
          <w:rtl/>
        </w:rPr>
        <w:t xml:space="preserve"> </w:t>
      </w:r>
      <w:r w:rsidRPr="002405CD">
        <w:rPr>
          <w:rFonts w:hint="eastAsia"/>
          <w:rtl/>
        </w:rPr>
        <w:t>מכינות</w:t>
      </w:r>
      <w:r w:rsidRPr="002405CD">
        <w:rPr>
          <w:rtl/>
        </w:rPr>
        <w:t xml:space="preserve"> דתיות לבוגר</w:t>
      </w:r>
      <w:r w:rsidRPr="002405CD">
        <w:rPr>
          <w:rFonts w:hint="eastAsia"/>
          <w:rtl/>
        </w:rPr>
        <w:t>ות</w:t>
      </w:r>
      <w:r w:rsidRPr="002405CD">
        <w:rPr>
          <w:rtl/>
        </w:rPr>
        <w:t xml:space="preserve"> אולפנה או </w:t>
      </w:r>
      <w:r w:rsidRPr="002405CD">
        <w:rPr>
          <w:rFonts w:hint="eastAsia"/>
          <w:rtl/>
        </w:rPr>
        <w:t>בוגרי</w:t>
      </w:r>
      <w:r w:rsidRPr="002405CD">
        <w:rPr>
          <w:rtl/>
        </w:rPr>
        <w:t xml:space="preserve"> ישיבה אשר העומדים בראש</w:t>
      </w:r>
      <w:r w:rsidRPr="002405CD">
        <w:rPr>
          <w:rFonts w:hint="eastAsia"/>
          <w:rtl/>
        </w:rPr>
        <w:t>ן</w:t>
      </w:r>
      <w:r w:rsidRPr="002405CD">
        <w:rPr>
          <w:rtl/>
        </w:rPr>
        <w:t xml:space="preserve"> </w:t>
      </w:r>
      <w:r w:rsidRPr="002405CD">
        <w:rPr>
          <w:rFonts w:hint="eastAsia"/>
          <w:rtl/>
        </w:rPr>
        <w:t>הם</w:t>
      </w:r>
      <w:r w:rsidRPr="002405CD">
        <w:rPr>
          <w:rtl/>
        </w:rPr>
        <w:t xml:space="preserve"> </w:t>
      </w:r>
      <w:r w:rsidRPr="002405CD">
        <w:rPr>
          <w:rFonts w:hint="eastAsia"/>
          <w:rtl/>
        </w:rPr>
        <w:t>רבנים</w:t>
      </w:r>
      <w:r w:rsidRPr="002405CD">
        <w:rPr>
          <w:rtl/>
        </w:rPr>
        <w:t xml:space="preserve"> </w:t>
      </w:r>
      <w:r w:rsidRPr="002405CD">
        <w:rPr>
          <w:rFonts w:hint="eastAsia"/>
          <w:rtl/>
        </w:rPr>
        <w:t>המהווים</w:t>
      </w:r>
      <w:r w:rsidRPr="002405CD">
        <w:rPr>
          <w:rtl/>
        </w:rPr>
        <w:t xml:space="preserve"> עבור החניכים מקור סמכות רוחנית וחינוכית. </w:t>
      </w:r>
    </w:p>
    <w:p w14:paraId="05078EF1" w14:textId="77777777" w:rsidR="00B86ACC" w:rsidRPr="002405CD" w:rsidRDefault="00B86ACC" w:rsidP="007D5C64">
      <w:pPr>
        <w:pStyle w:val="Hesber"/>
        <w:spacing w:line="276" w:lineRule="auto"/>
        <w:rPr>
          <w:rtl/>
        </w:rPr>
      </w:pPr>
      <w:r w:rsidRPr="002405CD">
        <w:rPr>
          <w:rtl/>
        </w:rPr>
        <w:tab/>
      </w:r>
      <w:r w:rsidRPr="002405CD">
        <w:rPr>
          <w:rFonts w:hint="eastAsia"/>
          <w:rtl/>
        </w:rPr>
        <w:t>דווקא</w:t>
      </w:r>
      <w:r w:rsidRPr="002405CD">
        <w:rPr>
          <w:rtl/>
        </w:rPr>
        <w:t xml:space="preserve"> משום כך חמור</w:t>
      </w:r>
      <w:r w:rsidRPr="002405CD">
        <w:rPr>
          <w:rFonts w:hint="eastAsia"/>
          <w:rtl/>
        </w:rPr>
        <w:t>ה</w:t>
      </w:r>
      <w:r w:rsidRPr="002405CD">
        <w:rPr>
          <w:rtl/>
        </w:rPr>
        <w:t xml:space="preserve"> שבעתיים </w:t>
      </w:r>
      <w:r w:rsidRPr="002405CD">
        <w:rPr>
          <w:rFonts w:hint="eastAsia"/>
          <w:rtl/>
        </w:rPr>
        <w:t>העובדה</w:t>
      </w:r>
      <w:r w:rsidRPr="002405CD">
        <w:rPr>
          <w:rtl/>
        </w:rPr>
        <w:t xml:space="preserve"> כי חדשות לבקרים אנו שומעים על רבנים של מכינות הקוראים בריש גלי לסירוב פקודות </w:t>
      </w:r>
      <w:r w:rsidRPr="002405CD">
        <w:rPr>
          <w:rFonts w:hint="eastAsia"/>
          <w:rtl/>
        </w:rPr>
        <w:t>בצבא</w:t>
      </w:r>
      <w:r w:rsidRPr="002405CD">
        <w:rPr>
          <w:rtl/>
        </w:rPr>
        <w:t xml:space="preserve"> </w:t>
      </w:r>
      <w:r w:rsidRPr="002405CD">
        <w:rPr>
          <w:rFonts w:hint="eastAsia"/>
          <w:rtl/>
        </w:rPr>
        <w:t>הגנה</w:t>
      </w:r>
      <w:r w:rsidRPr="002405CD">
        <w:rPr>
          <w:rtl/>
        </w:rPr>
        <w:t xml:space="preserve"> </w:t>
      </w:r>
      <w:r w:rsidRPr="002405CD">
        <w:rPr>
          <w:rFonts w:hint="eastAsia"/>
          <w:rtl/>
        </w:rPr>
        <w:t>לישראל</w:t>
      </w:r>
      <w:r w:rsidRPr="002405CD">
        <w:rPr>
          <w:rtl/>
        </w:rPr>
        <w:t xml:space="preserve">. בכל פעם שעולה סוגיית פינוי התנחלויות, רבנים העומדים בראש מכינות אינם מהססים לקרוא באופן מפורש לסירוב פקודה. בכך הם מועלים בתפקידם החינוכי כראשי מכינות ומנצלים באופן פסול את השפעתם על בני הנוער שתחת חסותם. </w:t>
      </w:r>
    </w:p>
    <w:p w14:paraId="0E0361EF" w14:textId="77777777" w:rsidR="00B86ACC" w:rsidRPr="002405CD" w:rsidRDefault="00B86ACC" w:rsidP="007D5C64">
      <w:pPr>
        <w:pStyle w:val="Hesber"/>
        <w:spacing w:line="276" w:lineRule="auto"/>
        <w:rPr>
          <w:rtl/>
        </w:rPr>
      </w:pPr>
      <w:r w:rsidRPr="002405CD">
        <w:rPr>
          <w:rFonts w:hint="eastAsia"/>
          <w:rtl/>
        </w:rPr>
        <w:t>כמו</w:t>
      </w:r>
      <w:r w:rsidRPr="002405CD">
        <w:rPr>
          <w:rtl/>
        </w:rPr>
        <w:t xml:space="preserve"> </w:t>
      </w:r>
      <w:r w:rsidRPr="002405CD">
        <w:rPr>
          <w:rFonts w:hint="eastAsia"/>
          <w:rtl/>
        </w:rPr>
        <w:t>כן</w:t>
      </w:r>
      <w:r w:rsidRPr="002405CD">
        <w:rPr>
          <w:rtl/>
        </w:rPr>
        <w:t xml:space="preserve">, </w:t>
      </w:r>
      <w:r w:rsidRPr="002405CD">
        <w:rPr>
          <w:rFonts w:hint="eastAsia"/>
          <w:rtl/>
        </w:rPr>
        <w:t>על</w:t>
      </w:r>
      <w:r w:rsidRPr="002405CD">
        <w:rPr>
          <w:rtl/>
        </w:rPr>
        <w:t xml:space="preserve"> </w:t>
      </w:r>
      <w:r w:rsidRPr="002405CD">
        <w:rPr>
          <w:rFonts w:hint="eastAsia"/>
          <w:rtl/>
        </w:rPr>
        <w:t>אף</w:t>
      </w:r>
      <w:r w:rsidRPr="002405CD">
        <w:rPr>
          <w:rtl/>
        </w:rPr>
        <w:t xml:space="preserve"> </w:t>
      </w:r>
      <w:r w:rsidRPr="002405CD">
        <w:rPr>
          <w:rFonts w:hint="eastAsia"/>
          <w:rtl/>
        </w:rPr>
        <w:t>שהתפקיד</w:t>
      </w:r>
      <w:r w:rsidRPr="002405CD">
        <w:rPr>
          <w:rtl/>
        </w:rPr>
        <w:t xml:space="preserve"> של המכינות הוא במהותו חינוכי, אנו שומעים חדשות לבקרים </w:t>
      </w:r>
      <w:r w:rsidRPr="002405CD">
        <w:rPr>
          <w:rFonts w:hint="eastAsia"/>
          <w:rtl/>
        </w:rPr>
        <w:t>גם</w:t>
      </w:r>
      <w:r w:rsidRPr="002405CD">
        <w:rPr>
          <w:rtl/>
        </w:rPr>
        <w:t xml:space="preserve"> אמירות איומות ומקוממות של בכירים במכינות, שמועלים בתפקידם החינוכי ומסיתים ללא חשש כנגד קבוצות באוכלוסייה, ובעיקר כנגד </w:t>
      </w:r>
      <w:r w:rsidRPr="002405CD">
        <w:rPr>
          <w:rFonts w:hint="eastAsia"/>
          <w:rtl/>
        </w:rPr>
        <w:t>להט</w:t>
      </w:r>
      <w:r w:rsidRPr="002405CD">
        <w:rPr>
          <w:rtl/>
        </w:rPr>
        <w:t>"בים ונשים. אוזלת היד של רשויות החוק האמונות על העמדתם לדין פלילי על דבריהם, מחייבת נקיטת עמדה נחרצת והפסקה של פעילות המכינות ומימונן.</w:t>
      </w:r>
    </w:p>
    <w:p w14:paraId="32D0D203" w14:textId="77777777" w:rsidR="00B86ACC" w:rsidRPr="002405CD" w:rsidRDefault="00B86ACC" w:rsidP="007D5C64">
      <w:pPr>
        <w:pStyle w:val="Hesber"/>
        <w:spacing w:line="276" w:lineRule="auto"/>
        <w:rPr>
          <w:rtl/>
        </w:rPr>
      </w:pPr>
      <w:r w:rsidRPr="002405CD">
        <w:rPr>
          <w:rFonts w:hint="eastAsia"/>
          <w:rtl/>
        </w:rPr>
        <w:t>לא</w:t>
      </w:r>
      <w:r w:rsidRPr="002405CD">
        <w:rPr>
          <w:rtl/>
        </w:rPr>
        <w:t xml:space="preserve"> ייתכן כי מדינת ישראל תאפשר את דברי הבלע של ראשי המכינות הללו, ותתיר להם לנצל את מעמדם בקרב התלמידים ולעוות את תפיסת עולמם של החניכים והכל במימון ציבורי. </w:t>
      </w:r>
    </w:p>
    <w:p w14:paraId="10157BCF" w14:textId="77777777" w:rsidR="00B86ACC" w:rsidRPr="002405CD" w:rsidRDefault="00B86ACC" w:rsidP="007D5C64">
      <w:pPr>
        <w:pStyle w:val="Hesber"/>
        <w:spacing w:line="276" w:lineRule="auto"/>
        <w:rPr>
          <w:rtl/>
        </w:rPr>
      </w:pPr>
      <w:r w:rsidRPr="002405CD">
        <w:rPr>
          <w:rtl/>
        </w:rPr>
        <w:tab/>
      </w:r>
      <w:r w:rsidRPr="002405CD">
        <w:rPr>
          <w:rFonts w:hint="eastAsia"/>
          <w:rtl/>
        </w:rPr>
        <w:t>אין</w:t>
      </w:r>
      <w:r w:rsidRPr="002405CD">
        <w:rPr>
          <w:rtl/>
        </w:rPr>
        <w:t xml:space="preserve"> </w:t>
      </w:r>
      <w:r w:rsidRPr="002405CD">
        <w:rPr>
          <w:rFonts w:hint="eastAsia"/>
          <w:rtl/>
        </w:rPr>
        <w:t>להעלות</w:t>
      </w:r>
      <w:r w:rsidRPr="002405CD">
        <w:rPr>
          <w:rtl/>
        </w:rPr>
        <w:t xml:space="preserve"> </w:t>
      </w:r>
      <w:r w:rsidRPr="002405CD">
        <w:rPr>
          <w:rFonts w:hint="eastAsia"/>
          <w:rtl/>
        </w:rPr>
        <w:t>על</w:t>
      </w:r>
      <w:r w:rsidRPr="002405CD">
        <w:rPr>
          <w:rtl/>
        </w:rPr>
        <w:t xml:space="preserve"> </w:t>
      </w:r>
      <w:r w:rsidRPr="002405CD">
        <w:rPr>
          <w:rFonts w:hint="eastAsia"/>
          <w:rtl/>
        </w:rPr>
        <w:t>הדעת</w:t>
      </w:r>
      <w:r w:rsidRPr="002405CD">
        <w:rPr>
          <w:rtl/>
        </w:rPr>
        <w:t xml:space="preserve"> </w:t>
      </w:r>
      <w:r w:rsidRPr="002405CD">
        <w:rPr>
          <w:rFonts w:hint="eastAsia"/>
          <w:rtl/>
        </w:rPr>
        <w:t>כי</w:t>
      </w:r>
      <w:r w:rsidRPr="002405CD">
        <w:rPr>
          <w:rtl/>
        </w:rPr>
        <w:t xml:space="preserve"> </w:t>
      </w:r>
      <w:r w:rsidRPr="002405CD">
        <w:rPr>
          <w:rFonts w:hint="eastAsia"/>
          <w:rtl/>
        </w:rPr>
        <w:t>משרד</w:t>
      </w:r>
      <w:r w:rsidRPr="002405CD">
        <w:rPr>
          <w:rtl/>
        </w:rPr>
        <w:t xml:space="preserve"> </w:t>
      </w:r>
      <w:r w:rsidRPr="002405CD">
        <w:rPr>
          <w:rFonts w:hint="eastAsia"/>
          <w:rtl/>
        </w:rPr>
        <w:t>הביטחון</w:t>
      </w:r>
      <w:r w:rsidRPr="002405CD">
        <w:rPr>
          <w:rtl/>
        </w:rPr>
        <w:t xml:space="preserve"> </w:t>
      </w:r>
      <w:r w:rsidRPr="002405CD">
        <w:rPr>
          <w:rFonts w:hint="eastAsia"/>
          <w:rtl/>
        </w:rPr>
        <w:t>ומשרד</w:t>
      </w:r>
      <w:r w:rsidRPr="002405CD">
        <w:rPr>
          <w:rtl/>
        </w:rPr>
        <w:t xml:space="preserve"> </w:t>
      </w:r>
      <w:r w:rsidRPr="002405CD">
        <w:rPr>
          <w:rFonts w:hint="eastAsia"/>
          <w:rtl/>
        </w:rPr>
        <w:t>החינוך</w:t>
      </w:r>
      <w:r w:rsidRPr="002405CD">
        <w:rPr>
          <w:rtl/>
        </w:rPr>
        <w:t xml:space="preserve"> </w:t>
      </w:r>
      <w:r w:rsidRPr="002405CD">
        <w:rPr>
          <w:rFonts w:hint="eastAsia"/>
          <w:rtl/>
        </w:rPr>
        <w:t>יוסיפו</w:t>
      </w:r>
      <w:r w:rsidRPr="002405CD">
        <w:rPr>
          <w:rtl/>
        </w:rPr>
        <w:t xml:space="preserve"> </w:t>
      </w:r>
      <w:r w:rsidRPr="002405CD">
        <w:rPr>
          <w:rFonts w:hint="eastAsia"/>
          <w:rtl/>
        </w:rPr>
        <w:t>לממן</w:t>
      </w:r>
      <w:r w:rsidRPr="002405CD">
        <w:rPr>
          <w:rtl/>
        </w:rPr>
        <w:t xml:space="preserve"> </w:t>
      </w:r>
      <w:r w:rsidRPr="002405CD">
        <w:rPr>
          <w:rFonts w:hint="eastAsia"/>
          <w:rtl/>
        </w:rPr>
        <w:t>בכספי</w:t>
      </w:r>
      <w:r w:rsidRPr="002405CD">
        <w:rPr>
          <w:rtl/>
        </w:rPr>
        <w:t xml:space="preserve"> </w:t>
      </w:r>
      <w:r w:rsidRPr="002405CD">
        <w:rPr>
          <w:rFonts w:hint="eastAsia"/>
          <w:rtl/>
        </w:rPr>
        <w:t>הציבור</w:t>
      </w:r>
      <w:r w:rsidRPr="002405CD">
        <w:rPr>
          <w:rtl/>
        </w:rPr>
        <w:t xml:space="preserve">, </w:t>
      </w:r>
      <w:r w:rsidRPr="002405CD">
        <w:rPr>
          <w:rFonts w:hint="eastAsia"/>
          <w:rtl/>
        </w:rPr>
        <w:t>בתנאים</w:t>
      </w:r>
      <w:r w:rsidRPr="002405CD">
        <w:rPr>
          <w:rtl/>
        </w:rPr>
        <w:t xml:space="preserve"> </w:t>
      </w:r>
      <w:r w:rsidRPr="002405CD">
        <w:rPr>
          <w:rFonts w:hint="eastAsia"/>
          <w:rtl/>
        </w:rPr>
        <w:t>אלו</w:t>
      </w:r>
      <w:r w:rsidRPr="002405CD">
        <w:rPr>
          <w:rtl/>
        </w:rPr>
        <w:t xml:space="preserve">, </w:t>
      </w:r>
      <w:r w:rsidRPr="002405CD">
        <w:rPr>
          <w:rFonts w:hint="eastAsia"/>
          <w:rtl/>
        </w:rPr>
        <w:t>מכינות</w:t>
      </w:r>
      <w:r w:rsidRPr="002405CD">
        <w:rPr>
          <w:rtl/>
        </w:rPr>
        <w:t xml:space="preserve"> </w:t>
      </w:r>
      <w:r w:rsidRPr="002405CD">
        <w:rPr>
          <w:rFonts w:hint="eastAsia"/>
          <w:rtl/>
        </w:rPr>
        <w:t>אשר</w:t>
      </w:r>
      <w:r w:rsidRPr="002405CD">
        <w:rPr>
          <w:rtl/>
        </w:rPr>
        <w:t xml:space="preserve"> </w:t>
      </w:r>
      <w:r w:rsidRPr="002405CD">
        <w:rPr>
          <w:rFonts w:hint="eastAsia"/>
          <w:rtl/>
        </w:rPr>
        <w:t>העומדים</w:t>
      </w:r>
      <w:r w:rsidRPr="002405CD">
        <w:rPr>
          <w:rtl/>
        </w:rPr>
        <w:t xml:space="preserve"> </w:t>
      </w:r>
      <w:r w:rsidRPr="002405CD">
        <w:rPr>
          <w:rFonts w:hint="eastAsia"/>
          <w:rtl/>
        </w:rPr>
        <w:t>בראשם</w:t>
      </w:r>
      <w:r w:rsidRPr="002405CD">
        <w:rPr>
          <w:rtl/>
        </w:rPr>
        <w:t xml:space="preserve"> </w:t>
      </w:r>
      <w:r w:rsidRPr="002405CD">
        <w:rPr>
          <w:rFonts w:hint="eastAsia"/>
          <w:rtl/>
        </w:rPr>
        <w:t>קוראים</w:t>
      </w:r>
      <w:r w:rsidRPr="002405CD">
        <w:rPr>
          <w:rtl/>
        </w:rPr>
        <w:t xml:space="preserve"> </w:t>
      </w:r>
      <w:r w:rsidRPr="002405CD">
        <w:rPr>
          <w:rFonts w:hint="eastAsia"/>
          <w:rtl/>
        </w:rPr>
        <w:t>לסירוב</w:t>
      </w:r>
      <w:r w:rsidRPr="002405CD">
        <w:rPr>
          <w:rtl/>
        </w:rPr>
        <w:t xml:space="preserve"> </w:t>
      </w:r>
      <w:r w:rsidRPr="002405CD">
        <w:rPr>
          <w:rFonts w:hint="eastAsia"/>
          <w:rtl/>
        </w:rPr>
        <w:t>פקודה</w:t>
      </w:r>
      <w:r w:rsidRPr="002405CD">
        <w:rPr>
          <w:rtl/>
        </w:rPr>
        <w:t xml:space="preserve"> </w:t>
      </w:r>
      <w:r w:rsidRPr="002405CD">
        <w:rPr>
          <w:rFonts w:hint="eastAsia"/>
          <w:rtl/>
        </w:rPr>
        <w:t>צבאית</w:t>
      </w:r>
      <w:r w:rsidRPr="002405CD">
        <w:rPr>
          <w:rtl/>
        </w:rPr>
        <w:t xml:space="preserve">, </w:t>
      </w:r>
      <w:r w:rsidRPr="002405CD">
        <w:rPr>
          <w:rFonts w:hint="eastAsia"/>
          <w:rtl/>
        </w:rPr>
        <w:t>או</w:t>
      </w:r>
      <w:r w:rsidRPr="002405CD">
        <w:rPr>
          <w:rtl/>
        </w:rPr>
        <w:t xml:space="preserve"> </w:t>
      </w:r>
      <w:r w:rsidRPr="002405CD">
        <w:rPr>
          <w:rFonts w:hint="eastAsia"/>
          <w:rtl/>
        </w:rPr>
        <w:t>מסיתים</w:t>
      </w:r>
      <w:r w:rsidRPr="002405CD">
        <w:rPr>
          <w:rtl/>
        </w:rPr>
        <w:t xml:space="preserve"> </w:t>
      </w:r>
      <w:r w:rsidRPr="002405CD">
        <w:rPr>
          <w:rFonts w:hint="eastAsia"/>
          <w:rtl/>
        </w:rPr>
        <w:t>כלפי</w:t>
      </w:r>
      <w:r w:rsidRPr="002405CD">
        <w:rPr>
          <w:rtl/>
        </w:rPr>
        <w:t xml:space="preserve"> </w:t>
      </w:r>
      <w:r w:rsidRPr="002405CD">
        <w:rPr>
          <w:rFonts w:hint="eastAsia"/>
          <w:rtl/>
        </w:rPr>
        <w:t>קבוצות</w:t>
      </w:r>
      <w:r w:rsidRPr="002405CD">
        <w:rPr>
          <w:rtl/>
        </w:rPr>
        <w:t xml:space="preserve"> </w:t>
      </w:r>
      <w:r w:rsidRPr="002405CD">
        <w:rPr>
          <w:rFonts w:hint="eastAsia"/>
          <w:rtl/>
        </w:rPr>
        <w:t>שונות</w:t>
      </w:r>
      <w:r w:rsidRPr="002405CD">
        <w:rPr>
          <w:rtl/>
        </w:rPr>
        <w:t xml:space="preserve"> </w:t>
      </w:r>
      <w:r w:rsidRPr="002405CD">
        <w:rPr>
          <w:rFonts w:hint="eastAsia"/>
          <w:rtl/>
        </w:rPr>
        <w:t>באוכלוסייה</w:t>
      </w:r>
      <w:r w:rsidRPr="002405CD">
        <w:rPr>
          <w:rtl/>
        </w:rPr>
        <w:t xml:space="preserve">. </w:t>
      </w:r>
      <w:r w:rsidRPr="002405CD">
        <w:rPr>
          <w:rFonts w:hint="eastAsia"/>
          <w:rtl/>
        </w:rPr>
        <w:t>מדובר</w:t>
      </w:r>
      <w:r w:rsidRPr="002405CD">
        <w:rPr>
          <w:rtl/>
        </w:rPr>
        <w:t xml:space="preserve"> </w:t>
      </w:r>
      <w:r w:rsidRPr="002405CD">
        <w:rPr>
          <w:rFonts w:hint="eastAsia"/>
          <w:rtl/>
        </w:rPr>
        <w:t>בהפעלה</w:t>
      </w:r>
      <w:r w:rsidRPr="002405CD">
        <w:rPr>
          <w:rtl/>
        </w:rPr>
        <w:t xml:space="preserve"> </w:t>
      </w:r>
      <w:r w:rsidRPr="002405CD">
        <w:rPr>
          <w:rFonts w:hint="eastAsia"/>
          <w:rtl/>
        </w:rPr>
        <w:t>פסולה</w:t>
      </w:r>
      <w:r w:rsidRPr="002405CD">
        <w:rPr>
          <w:rtl/>
        </w:rPr>
        <w:t xml:space="preserve"> </w:t>
      </w:r>
      <w:r w:rsidRPr="002405CD">
        <w:rPr>
          <w:rFonts w:hint="eastAsia"/>
          <w:rtl/>
        </w:rPr>
        <w:t>של</w:t>
      </w:r>
      <w:r w:rsidRPr="002405CD">
        <w:rPr>
          <w:rtl/>
        </w:rPr>
        <w:t xml:space="preserve"> </w:t>
      </w:r>
      <w:r w:rsidRPr="002405CD">
        <w:rPr>
          <w:rFonts w:hint="eastAsia"/>
          <w:rtl/>
        </w:rPr>
        <w:t>השפעתם</w:t>
      </w:r>
      <w:r w:rsidRPr="002405CD">
        <w:rPr>
          <w:rtl/>
        </w:rPr>
        <w:t xml:space="preserve"> </w:t>
      </w:r>
      <w:r w:rsidRPr="002405CD">
        <w:rPr>
          <w:rFonts w:hint="eastAsia"/>
          <w:rtl/>
        </w:rPr>
        <w:t>על</w:t>
      </w:r>
      <w:r w:rsidRPr="002405CD">
        <w:rPr>
          <w:rtl/>
        </w:rPr>
        <w:t xml:space="preserve"> </w:t>
      </w:r>
      <w:r w:rsidRPr="002405CD">
        <w:rPr>
          <w:rFonts w:hint="eastAsia"/>
          <w:rtl/>
        </w:rPr>
        <w:t>חיילים</w:t>
      </w:r>
      <w:r w:rsidRPr="002405CD">
        <w:rPr>
          <w:rtl/>
        </w:rPr>
        <w:t xml:space="preserve"> </w:t>
      </w:r>
      <w:r w:rsidRPr="002405CD">
        <w:rPr>
          <w:rFonts w:hint="eastAsia"/>
          <w:rtl/>
        </w:rPr>
        <w:t>וחיילות</w:t>
      </w:r>
      <w:r w:rsidRPr="002405CD">
        <w:rPr>
          <w:rtl/>
        </w:rPr>
        <w:t xml:space="preserve"> </w:t>
      </w:r>
      <w:r w:rsidRPr="002405CD">
        <w:rPr>
          <w:rFonts w:hint="eastAsia"/>
          <w:rtl/>
        </w:rPr>
        <w:t>לעתיד</w:t>
      </w:r>
      <w:r w:rsidRPr="002405CD">
        <w:rPr>
          <w:rtl/>
        </w:rPr>
        <w:t xml:space="preserve">. </w:t>
      </w:r>
      <w:r w:rsidRPr="002405CD">
        <w:rPr>
          <w:rFonts w:hint="eastAsia"/>
          <w:rtl/>
        </w:rPr>
        <w:t>משרד</w:t>
      </w:r>
      <w:r w:rsidRPr="002405CD">
        <w:rPr>
          <w:rtl/>
        </w:rPr>
        <w:t xml:space="preserve"> </w:t>
      </w:r>
      <w:r w:rsidRPr="002405CD">
        <w:rPr>
          <w:rFonts w:hint="eastAsia"/>
          <w:rtl/>
        </w:rPr>
        <w:t>הביטחון</w:t>
      </w:r>
      <w:r w:rsidRPr="002405CD">
        <w:rPr>
          <w:rtl/>
        </w:rPr>
        <w:t xml:space="preserve"> </w:t>
      </w:r>
      <w:r w:rsidRPr="002405CD">
        <w:rPr>
          <w:rFonts w:hint="eastAsia"/>
          <w:rtl/>
        </w:rPr>
        <w:t>ומשרד</w:t>
      </w:r>
      <w:r w:rsidRPr="002405CD">
        <w:rPr>
          <w:rtl/>
        </w:rPr>
        <w:t xml:space="preserve"> </w:t>
      </w:r>
      <w:r w:rsidRPr="002405CD">
        <w:rPr>
          <w:rFonts w:hint="eastAsia"/>
          <w:rtl/>
        </w:rPr>
        <w:t>החינוך</w:t>
      </w:r>
      <w:r w:rsidRPr="002405CD">
        <w:rPr>
          <w:rtl/>
        </w:rPr>
        <w:t xml:space="preserve"> </w:t>
      </w:r>
      <w:r w:rsidRPr="002405CD">
        <w:rPr>
          <w:rFonts w:hint="eastAsia"/>
          <w:rtl/>
        </w:rPr>
        <w:t>מממנים</w:t>
      </w:r>
      <w:r w:rsidRPr="002405CD">
        <w:rPr>
          <w:rtl/>
        </w:rPr>
        <w:t xml:space="preserve"> </w:t>
      </w:r>
      <w:r w:rsidRPr="002405CD">
        <w:rPr>
          <w:rFonts w:hint="eastAsia"/>
          <w:rtl/>
        </w:rPr>
        <w:t>למעשה</w:t>
      </w:r>
      <w:r w:rsidRPr="002405CD">
        <w:rPr>
          <w:rtl/>
        </w:rPr>
        <w:t xml:space="preserve"> </w:t>
      </w:r>
      <w:r w:rsidRPr="002405CD">
        <w:rPr>
          <w:rFonts w:hint="eastAsia"/>
          <w:rtl/>
        </w:rPr>
        <w:t>את</w:t>
      </w:r>
      <w:r w:rsidRPr="002405CD">
        <w:rPr>
          <w:rtl/>
        </w:rPr>
        <w:t xml:space="preserve"> </w:t>
      </w:r>
      <w:r w:rsidRPr="002405CD">
        <w:rPr>
          <w:rFonts w:hint="eastAsia"/>
          <w:rtl/>
        </w:rPr>
        <w:t>המכינות</w:t>
      </w:r>
      <w:r w:rsidRPr="002405CD">
        <w:rPr>
          <w:rtl/>
        </w:rPr>
        <w:t xml:space="preserve"> </w:t>
      </w:r>
      <w:r w:rsidRPr="002405CD">
        <w:rPr>
          <w:rFonts w:hint="eastAsia"/>
          <w:rtl/>
        </w:rPr>
        <w:t>הללו</w:t>
      </w:r>
      <w:r w:rsidRPr="002405CD">
        <w:rPr>
          <w:rtl/>
        </w:rPr>
        <w:t xml:space="preserve"> הקוראות תיגר על סמכותו של הצבא ועל עקרונות יסוד של חברה דמוקרטית. </w:t>
      </w:r>
      <w:r w:rsidRPr="002405CD">
        <w:rPr>
          <w:rtl/>
        </w:rPr>
        <w:tab/>
      </w:r>
    </w:p>
    <w:p w14:paraId="233B68F3" w14:textId="77777777" w:rsidR="00B86ACC" w:rsidRPr="002405CD" w:rsidRDefault="00B86ACC" w:rsidP="007D5C64">
      <w:pPr>
        <w:pStyle w:val="Hesber"/>
        <w:spacing w:line="276" w:lineRule="auto"/>
        <w:rPr>
          <w:rtl/>
        </w:rPr>
      </w:pPr>
      <w:r w:rsidRPr="002405CD">
        <w:rPr>
          <w:rFonts w:hint="eastAsia"/>
          <w:rtl/>
        </w:rPr>
        <w:t>הצעת</w:t>
      </w:r>
      <w:r w:rsidRPr="002405CD">
        <w:rPr>
          <w:rtl/>
        </w:rPr>
        <w:t xml:space="preserve"> </w:t>
      </w:r>
      <w:r w:rsidRPr="002405CD">
        <w:rPr>
          <w:rFonts w:hint="eastAsia"/>
          <w:rtl/>
        </w:rPr>
        <w:t>ה</w:t>
      </w:r>
      <w:r w:rsidRPr="002405CD">
        <w:rPr>
          <w:rtl/>
        </w:rPr>
        <w:t xml:space="preserve">חוק </w:t>
      </w:r>
      <w:r w:rsidRPr="002405CD">
        <w:rPr>
          <w:rFonts w:hint="eastAsia"/>
          <w:rtl/>
        </w:rPr>
        <w:t>נועדה</w:t>
      </w:r>
      <w:r w:rsidRPr="002405CD">
        <w:rPr>
          <w:rtl/>
        </w:rPr>
        <w:t xml:space="preserve"> </w:t>
      </w:r>
      <w:r w:rsidRPr="002405CD">
        <w:rPr>
          <w:rFonts w:hint="eastAsia"/>
          <w:rtl/>
        </w:rPr>
        <w:t>לבטל</w:t>
      </w:r>
      <w:r w:rsidRPr="002405CD">
        <w:rPr>
          <w:rtl/>
        </w:rPr>
        <w:t xml:space="preserve"> </w:t>
      </w:r>
      <w:r w:rsidRPr="002405CD">
        <w:rPr>
          <w:rFonts w:hint="eastAsia"/>
          <w:rtl/>
        </w:rPr>
        <w:t>את</w:t>
      </w:r>
      <w:r w:rsidRPr="002405CD">
        <w:rPr>
          <w:rtl/>
        </w:rPr>
        <w:t xml:space="preserve"> </w:t>
      </w:r>
      <w:r w:rsidRPr="002405CD">
        <w:rPr>
          <w:rFonts w:hint="eastAsia"/>
          <w:rtl/>
        </w:rPr>
        <w:t>ההכרה</w:t>
      </w:r>
      <w:r w:rsidRPr="002405CD">
        <w:rPr>
          <w:rtl/>
        </w:rPr>
        <w:t xml:space="preserve"> </w:t>
      </w:r>
      <w:r w:rsidRPr="002405CD">
        <w:rPr>
          <w:rFonts w:hint="eastAsia"/>
          <w:rtl/>
        </w:rPr>
        <w:t>ב</w:t>
      </w:r>
      <w:r w:rsidRPr="002405CD">
        <w:rPr>
          <w:rtl/>
        </w:rPr>
        <w:t xml:space="preserve">מכינות שראשיהם קוראים ומשדלים לסירוב פקודה ולהסתה ולשלול את תקצובן, לתקופה של שלוש שנים לפחות. </w:t>
      </w:r>
    </w:p>
    <w:p w14:paraId="7F6961CB" w14:textId="6A8A661A" w:rsidR="00E13C27" w:rsidRDefault="00B86ACC" w:rsidP="007D5C64">
      <w:pPr>
        <w:pStyle w:val="Hesber"/>
        <w:spacing w:line="276" w:lineRule="auto"/>
        <w:rPr>
          <w:rtl/>
        </w:rPr>
      </w:pPr>
      <w:r w:rsidRPr="002405CD">
        <w:rPr>
          <w:rFonts w:hint="eastAsia"/>
          <w:rtl/>
        </w:rPr>
        <w:t>הצעות</w:t>
      </w:r>
      <w:r w:rsidRPr="002405CD">
        <w:rPr>
          <w:rtl/>
        </w:rPr>
        <w:t xml:space="preserve"> </w:t>
      </w:r>
      <w:r w:rsidRPr="002405CD">
        <w:rPr>
          <w:rFonts w:hint="eastAsia"/>
          <w:rtl/>
        </w:rPr>
        <w:t>חוק</w:t>
      </w:r>
      <w:r w:rsidRPr="002405CD">
        <w:rPr>
          <w:rtl/>
        </w:rPr>
        <w:t xml:space="preserve"> </w:t>
      </w:r>
      <w:r w:rsidRPr="002405CD">
        <w:rPr>
          <w:rFonts w:hint="eastAsia"/>
          <w:rtl/>
        </w:rPr>
        <w:t>זהות</w:t>
      </w:r>
      <w:r w:rsidRPr="002405CD">
        <w:rPr>
          <w:rtl/>
        </w:rPr>
        <w:t xml:space="preserve"> </w:t>
      </w:r>
      <w:r w:rsidRPr="002405CD">
        <w:rPr>
          <w:rFonts w:hint="eastAsia"/>
          <w:rtl/>
        </w:rPr>
        <w:t>הונחו</w:t>
      </w:r>
      <w:r w:rsidRPr="002405CD">
        <w:rPr>
          <w:rtl/>
        </w:rPr>
        <w:t xml:space="preserve"> </w:t>
      </w:r>
      <w:r w:rsidRPr="002405CD">
        <w:rPr>
          <w:rFonts w:hint="eastAsia"/>
          <w:rtl/>
        </w:rPr>
        <w:t>על</w:t>
      </w:r>
      <w:r w:rsidRPr="002405CD">
        <w:rPr>
          <w:rtl/>
        </w:rPr>
        <w:t xml:space="preserve"> </w:t>
      </w:r>
      <w:r w:rsidRPr="002405CD">
        <w:rPr>
          <w:rFonts w:hint="eastAsia"/>
          <w:rtl/>
        </w:rPr>
        <w:t>שולחן</w:t>
      </w:r>
      <w:r w:rsidRPr="002405CD">
        <w:rPr>
          <w:rtl/>
        </w:rPr>
        <w:t xml:space="preserve"> </w:t>
      </w:r>
      <w:r w:rsidRPr="002405CD">
        <w:rPr>
          <w:rFonts w:hint="eastAsia"/>
          <w:rtl/>
        </w:rPr>
        <w:t>הכנסת</w:t>
      </w:r>
      <w:r w:rsidRPr="002405CD">
        <w:rPr>
          <w:rtl/>
        </w:rPr>
        <w:t xml:space="preserve"> </w:t>
      </w:r>
      <w:r w:rsidRPr="002405CD">
        <w:rPr>
          <w:rFonts w:hint="eastAsia"/>
          <w:rtl/>
        </w:rPr>
        <w:t>העשרים</w:t>
      </w:r>
      <w:r w:rsidRPr="002405CD">
        <w:rPr>
          <w:rtl/>
        </w:rPr>
        <w:t xml:space="preserve"> </w:t>
      </w:r>
      <w:r w:rsidRPr="002405CD">
        <w:rPr>
          <w:rFonts w:hint="eastAsia"/>
          <w:rtl/>
        </w:rPr>
        <w:t>על</w:t>
      </w:r>
      <w:r w:rsidRPr="002405CD">
        <w:rPr>
          <w:rtl/>
        </w:rPr>
        <w:t xml:space="preserve"> </w:t>
      </w:r>
      <w:r w:rsidRPr="002405CD">
        <w:rPr>
          <w:rFonts w:hint="eastAsia"/>
          <w:rtl/>
        </w:rPr>
        <w:t>ידי</w:t>
      </w:r>
      <w:r w:rsidRPr="002405CD">
        <w:rPr>
          <w:rtl/>
        </w:rPr>
        <w:t xml:space="preserve"> </w:t>
      </w:r>
      <w:r w:rsidRPr="002405CD">
        <w:rPr>
          <w:rFonts w:hint="eastAsia"/>
          <w:rtl/>
        </w:rPr>
        <w:t>חברת</w:t>
      </w:r>
      <w:r w:rsidRPr="002405CD">
        <w:rPr>
          <w:rtl/>
        </w:rPr>
        <w:t xml:space="preserve"> </w:t>
      </w:r>
      <w:r w:rsidRPr="002405CD">
        <w:rPr>
          <w:rFonts w:hint="eastAsia"/>
          <w:rtl/>
        </w:rPr>
        <w:t>הכנסת</w:t>
      </w:r>
      <w:r w:rsidRPr="002405CD">
        <w:rPr>
          <w:rtl/>
        </w:rPr>
        <w:t xml:space="preserve"> </w:t>
      </w:r>
      <w:r w:rsidR="00EE1B9C">
        <w:rPr>
          <w:rFonts w:hint="cs"/>
          <w:rtl/>
        </w:rPr>
        <w:t>יעל גרמן וקבוצת חברי הכנסת</w:t>
      </w:r>
      <w:r w:rsidRPr="002405CD">
        <w:rPr>
          <w:rtl/>
        </w:rPr>
        <w:t xml:space="preserve"> (פ/4227/20) </w:t>
      </w:r>
      <w:r w:rsidRPr="002405CD">
        <w:rPr>
          <w:rFonts w:hint="eastAsia"/>
          <w:rtl/>
        </w:rPr>
        <w:t>ועל</w:t>
      </w:r>
      <w:r w:rsidRPr="002405CD">
        <w:rPr>
          <w:rtl/>
        </w:rPr>
        <w:t xml:space="preserve"> </w:t>
      </w:r>
      <w:r w:rsidRPr="002405CD">
        <w:rPr>
          <w:rFonts w:hint="eastAsia"/>
          <w:rtl/>
        </w:rPr>
        <w:t>ידי</w:t>
      </w:r>
      <w:r w:rsidRPr="002405CD">
        <w:rPr>
          <w:rtl/>
        </w:rPr>
        <w:t xml:space="preserve"> </w:t>
      </w:r>
      <w:r w:rsidRPr="002405CD">
        <w:rPr>
          <w:rFonts w:hint="eastAsia"/>
          <w:rtl/>
        </w:rPr>
        <w:t>חבר</w:t>
      </w:r>
      <w:r w:rsidRPr="002405CD">
        <w:rPr>
          <w:rtl/>
        </w:rPr>
        <w:t xml:space="preserve"> </w:t>
      </w:r>
      <w:r w:rsidRPr="002405CD">
        <w:rPr>
          <w:rFonts w:hint="eastAsia"/>
          <w:rtl/>
        </w:rPr>
        <w:t>הכנסת</w:t>
      </w:r>
      <w:r w:rsidRPr="002405CD">
        <w:rPr>
          <w:rtl/>
        </w:rPr>
        <w:t xml:space="preserve"> </w:t>
      </w:r>
      <w:r w:rsidRPr="002405CD">
        <w:rPr>
          <w:rFonts w:hint="eastAsia"/>
          <w:rtl/>
        </w:rPr>
        <w:t>איציק</w:t>
      </w:r>
      <w:r w:rsidRPr="002405CD">
        <w:rPr>
          <w:rtl/>
        </w:rPr>
        <w:t xml:space="preserve"> </w:t>
      </w:r>
      <w:r w:rsidRPr="002405CD">
        <w:rPr>
          <w:rFonts w:hint="eastAsia"/>
          <w:rtl/>
        </w:rPr>
        <w:t>שמולי</w:t>
      </w:r>
      <w:r w:rsidRPr="002405CD">
        <w:rPr>
          <w:rtl/>
        </w:rPr>
        <w:t xml:space="preserve"> (פ4706/20), </w:t>
      </w:r>
      <w:r w:rsidRPr="002405CD">
        <w:rPr>
          <w:rFonts w:hint="eastAsia"/>
          <w:rtl/>
        </w:rPr>
        <w:t>ועל</w:t>
      </w:r>
      <w:r w:rsidRPr="002405CD">
        <w:rPr>
          <w:rtl/>
        </w:rPr>
        <w:t xml:space="preserve"> </w:t>
      </w:r>
      <w:r w:rsidRPr="002405CD">
        <w:rPr>
          <w:rFonts w:hint="eastAsia"/>
          <w:rtl/>
        </w:rPr>
        <w:t>שולחן</w:t>
      </w:r>
      <w:r w:rsidRPr="002405CD">
        <w:rPr>
          <w:rtl/>
        </w:rPr>
        <w:t xml:space="preserve"> </w:t>
      </w:r>
      <w:r w:rsidRPr="002405CD">
        <w:rPr>
          <w:rFonts w:hint="eastAsia"/>
          <w:rtl/>
        </w:rPr>
        <w:t>הכנסת</w:t>
      </w:r>
      <w:r w:rsidRPr="002405CD">
        <w:rPr>
          <w:rtl/>
        </w:rPr>
        <w:t xml:space="preserve"> </w:t>
      </w:r>
      <w:r w:rsidRPr="002405CD">
        <w:rPr>
          <w:rFonts w:hint="eastAsia"/>
          <w:rtl/>
        </w:rPr>
        <w:t>העשרים</w:t>
      </w:r>
      <w:r w:rsidRPr="002405CD">
        <w:rPr>
          <w:rtl/>
        </w:rPr>
        <w:t xml:space="preserve"> </w:t>
      </w:r>
      <w:r w:rsidRPr="002405CD">
        <w:rPr>
          <w:rFonts w:hint="eastAsia"/>
          <w:rtl/>
        </w:rPr>
        <w:t>ושתיים</w:t>
      </w:r>
      <w:r w:rsidRPr="002405CD">
        <w:rPr>
          <w:rtl/>
        </w:rPr>
        <w:t xml:space="preserve"> </w:t>
      </w:r>
      <w:r w:rsidRPr="002405CD">
        <w:rPr>
          <w:rFonts w:hint="eastAsia"/>
          <w:rtl/>
        </w:rPr>
        <w:t>על</w:t>
      </w:r>
      <w:r w:rsidRPr="002405CD">
        <w:rPr>
          <w:rtl/>
        </w:rPr>
        <w:t xml:space="preserve"> </w:t>
      </w:r>
      <w:r w:rsidRPr="002405CD">
        <w:rPr>
          <w:rFonts w:hint="eastAsia"/>
          <w:rtl/>
        </w:rPr>
        <w:t>ידי</w:t>
      </w:r>
      <w:r w:rsidR="00CD43B8">
        <w:rPr>
          <w:rFonts w:hint="cs"/>
          <w:rtl/>
        </w:rPr>
        <w:t xml:space="preserve"> </w:t>
      </w:r>
      <w:r w:rsidR="00CD43B8" w:rsidRPr="00CD43B8">
        <w:rPr>
          <w:rFonts w:hint="cs"/>
          <w:rtl/>
        </w:rPr>
        <w:t xml:space="preserve">חברת הכנסת </w:t>
      </w:r>
      <w:r w:rsidR="00CD43B8">
        <w:rPr>
          <w:rFonts w:hint="cs"/>
          <w:rtl/>
        </w:rPr>
        <w:t xml:space="preserve">יעל גרמן </w:t>
      </w:r>
      <w:r w:rsidR="00CD43B8" w:rsidRPr="007C65FA">
        <w:rPr>
          <w:rFonts w:hint="cs"/>
          <w:rtl/>
        </w:rPr>
        <w:t>(פ/61/22)</w:t>
      </w:r>
      <w:r w:rsidR="00CD43B8">
        <w:rPr>
          <w:rFonts w:hint="cs"/>
          <w:rtl/>
        </w:rPr>
        <w:t>,</w:t>
      </w:r>
      <w:r w:rsidR="00CD43B8" w:rsidRPr="00CD43B8">
        <w:rPr>
          <w:rFonts w:hint="cs"/>
          <w:rtl/>
        </w:rPr>
        <w:t xml:space="preserve"> על ידי ח</w:t>
      </w:r>
      <w:r w:rsidR="00CD43B8">
        <w:rPr>
          <w:rFonts w:hint="cs"/>
          <w:rtl/>
        </w:rPr>
        <w:t>ברת הכנסת תמר זנדברג (פ/270/22) ועל ידי חבר</w:t>
      </w:r>
      <w:r w:rsidRPr="002405CD">
        <w:rPr>
          <w:rtl/>
        </w:rPr>
        <w:t xml:space="preserve"> הכנסת איציק שמולי (פ/659/22</w:t>
      </w:r>
      <w:r w:rsidR="00CD43B8">
        <w:rPr>
          <w:rFonts w:hint="cs"/>
          <w:rtl/>
        </w:rPr>
        <w:t>).</w:t>
      </w:r>
    </w:p>
    <w:p w14:paraId="25FB95B7" w14:textId="77777777" w:rsidR="007D5C64" w:rsidRDefault="007D5C64" w:rsidP="007D5C64">
      <w:pPr>
        <w:pStyle w:val="Hesber"/>
        <w:spacing w:line="276" w:lineRule="auto"/>
        <w:rPr>
          <w:rtl/>
        </w:rPr>
      </w:pPr>
    </w:p>
    <w:p w14:paraId="3FAB47DA" w14:textId="77777777" w:rsidR="007D5C64" w:rsidRDefault="007D5C64" w:rsidP="007D5C64">
      <w:pPr>
        <w:pStyle w:val="Hesber"/>
        <w:spacing w:line="276" w:lineRule="auto"/>
        <w:rPr>
          <w:rtl/>
        </w:rPr>
      </w:pPr>
      <w:bookmarkStart w:id="8" w:name="_GoBack"/>
      <w:bookmarkEnd w:id="8"/>
    </w:p>
    <w:p w14:paraId="1149AABB" w14:textId="77777777" w:rsidR="007D5C64" w:rsidRDefault="007D5C64" w:rsidP="007D5C64">
      <w:pPr>
        <w:pStyle w:val="Hesber"/>
        <w:spacing w:line="276" w:lineRule="auto"/>
        <w:rPr>
          <w:rtl/>
        </w:rPr>
      </w:pPr>
      <w:r>
        <w:rPr>
          <w:rtl/>
        </w:rPr>
        <w:t>---------------------------------</w:t>
      </w:r>
    </w:p>
    <w:p w14:paraId="52277F01" w14:textId="77777777" w:rsidR="007D5C64" w:rsidRDefault="007D5C64" w:rsidP="007D5C64">
      <w:pPr>
        <w:pStyle w:val="Hesber"/>
        <w:spacing w:line="276" w:lineRule="auto"/>
        <w:rPr>
          <w:rtl/>
        </w:rPr>
      </w:pPr>
      <w:r>
        <w:rPr>
          <w:rtl/>
        </w:rPr>
        <w:t>הוגשה ליו"ר הכנסת והסגנים</w:t>
      </w:r>
    </w:p>
    <w:p w14:paraId="5040369C" w14:textId="77777777" w:rsidR="007D5C64" w:rsidRDefault="007D5C64" w:rsidP="007D5C64">
      <w:pPr>
        <w:pStyle w:val="Hesber"/>
        <w:spacing w:line="276" w:lineRule="auto"/>
        <w:rPr>
          <w:rtl/>
        </w:rPr>
      </w:pPr>
      <w:r>
        <w:rPr>
          <w:rtl/>
        </w:rPr>
        <w:t>והונחה על שולחן הכנסת ביום</w:t>
      </w:r>
    </w:p>
    <w:p w14:paraId="6803A3D9" w14:textId="4A7BD211" w:rsidR="007D5C64" w:rsidRPr="002405CD" w:rsidRDefault="007D5C64" w:rsidP="007D5C64">
      <w:pPr>
        <w:pStyle w:val="Hesber"/>
        <w:spacing w:line="276" w:lineRule="auto"/>
        <w:rPr>
          <w:rtl/>
        </w:rPr>
      </w:pPr>
      <w:r>
        <w:rPr>
          <w:rtl/>
        </w:rPr>
        <w:t xml:space="preserve">י"ז באייר התש"ף - 11.5.20  </w:t>
      </w:r>
    </w:p>
    <w:sectPr w:rsidR="007D5C64" w:rsidRPr="002405CD" w:rsidSect="00D92536">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6E3682CC"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7D5C64">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D92536">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03D7DDF" w14:textId="77777777" w:rsidR="00B86ACC" w:rsidRDefault="00B86ACC" w:rsidP="00B86ACC">
      <w:pPr>
        <w:pStyle w:val="a4"/>
      </w:pPr>
      <w:r>
        <w:rPr>
          <w:rStyle w:val="a5"/>
        </w:rPr>
        <w:footnoteRef/>
      </w:r>
      <w:r>
        <w:rPr>
          <w:rtl/>
        </w:rPr>
        <w:t xml:space="preserve"> </w:t>
      </w:r>
      <w:r w:rsidRPr="00A81EA3">
        <w:rPr>
          <w:rtl/>
        </w:rPr>
        <w:t xml:space="preserve">ס"ח </w:t>
      </w:r>
      <w:r>
        <w:rPr>
          <w:rFonts w:hint="cs"/>
          <w:rtl/>
        </w:rPr>
        <w:t>ה</w:t>
      </w:r>
      <w:r w:rsidRPr="00A81EA3">
        <w:rPr>
          <w:rtl/>
        </w:rPr>
        <w:t>תשס"ח</w:t>
      </w:r>
      <w:r>
        <w:rPr>
          <w:rFonts w:hint="cs"/>
          <w:rtl/>
        </w:rPr>
        <w:t xml:space="preserve">, </w:t>
      </w:r>
      <w:r w:rsidRPr="00A81EA3">
        <w:rPr>
          <w:rtl/>
        </w:rPr>
        <w:t>עמ' 890</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05CD"/>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94BB3"/>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D5C64"/>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86ACC"/>
    <w:rsid w:val="00B975AD"/>
    <w:rsid w:val="00BC45FB"/>
    <w:rsid w:val="00BF148D"/>
    <w:rsid w:val="00C23B1A"/>
    <w:rsid w:val="00C310EB"/>
    <w:rsid w:val="00C9176A"/>
    <w:rsid w:val="00CD43B8"/>
    <w:rsid w:val="00CF1AA2"/>
    <w:rsid w:val="00D142D3"/>
    <w:rsid w:val="00D17774"/>
    <w:rsid w:val="00D63620"/>
    <w:rsid w:val="00D8410D"/>
    <w:rsid w:val="00D867D7"/>
    <w:rsid w:val="00D92536"/>
    <w:rsid w:val="00DB7060"/>
    <w:rsid w:val="00DE3153"/>
    <w:rsid w:val="00E06736"/>
    <w:rsid w:val="00E13C27"/>
    <w:rsid w:val="00E33BBD"/>
    <w:rsid w:val="00E374F2"/>
    <w:rsid w:val="00E4227D"/>
    <w:rsid w:val="00E45103"/>
    <w:rsid w:val="00E55A60"/>
    <w:rsid w:val="00E62778"/>
    <w:rsid w:val="00E635A2"/>
    <w:rsid w:val="00E63D38"/>
    <w:rsid w:val="00E665B9"/>
    <w:rsid w:val="00EA01E6"/>
    <w:rsid w:val="00EA3DE8"/>
    <w:rsid w:val="00EA758F"/>
    <w:rsid w:val="00ED4A6F"/>
    <w:rsid w:val="00EE1B9C"/>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58AE7C2-B567-4953-9029-5B2EEB1D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5CD"/>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2405CD"/>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2405CD"/>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2405CD"/>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2405CD"/>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2405CD"/>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2405CD"/>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2405CD"/>
    <w:rPr>
      <w:sz w:val="36"/>
      <w:szCs w:val="52"/>
    </w:rPr>
  </w:style>
  <w:style w:type="paragraph" w:customStyle="1" w:styleId="Cover3-Haknesset">
    <w:name w:val="Cover 3-Haknesset"/>
    <w:basedOn w:val="Cover1-Reshumot"/>
    <w:rsid w:val="002405CD"/>
    <w:rPr>
      <w:b/>
      <w:bCs/>
      <w:spacing w:val="60"/>
    </w:rPr>
  </w:style>
  <w:style w:type="paragraph" w:customStyle="1" w:styleId="Cover4-Date">
    <w:name w:val="Cover 4-Date"/>
    <w:basedOn w:val="a"/>
    <w:rsid w:val="002405CD"/>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2405CD"/>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2405CD"/>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2405CD"/>
    <w:pPr>
      <w:spacing w:before="120" w:after="120"/>
    </w:pPr>
    <w:rPr>
      <w:color w:val="FF0000"/>
      <w:w w:val="80"/>
    </w:rPr>
  </w:style>
  <w:style w:type="paragraph" w:styleId="a3">
    <w:name w:val="endnote text"/>
    <w:basedOn w:val="a"/>
    <w:semiHidden/>
    <w:rsid w:val="002405CD"/>
    <w:pPr>
      <w:ind w:left="227" w:hanging="227"/>
    </w:pPr>
    <w:rPr>
      <w:sz w:val="14"/>
      <w:szCs w:val="22"/>
    </w:rPr>
  </w:style>
  <w:style w:type="paragraph" w:customStyle="1" w:styleId="TableText">
    <w:name w:val="Table Text"/>
    <w:basedOn w:val="a"/>
    <w:rsid w:val="002405CD"/>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2405CD"/>
    <w:pPr>
      <w:outlineLvl w:val="2"/>
    </w:pPr>
  </w:style>
  <w:style w:type="paragraph" w:customStyle="1" w:styleId="TableBlock">
    <w:name w:val="Table Block"/>
    <w:basedOn w:val="TableText"/>
    <w:rsid w:val="002405CD"/>
    <w:pPr>
      <w:jc w:val="both"/>
    </w:pPr>
  </w:style>
  <w:style w:type="paragraph" w:customStyle="1" w:styleId="TableHead">
    <w:name w:val="Table Head"/>
    <w:basedOn w:val="TableText"/>
    <w:rsid w:val="002405CD"/>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2405CD"/>
    <w:pPr>
      <w:outlineLvl w:val="9"/>
    </w:pPr>
  </w:style>
  <w:style w:type="paragraph" w:customStyle="1" w:styleId="Hesber">
    <w:name w:val="Hesber"/>
    <w:basedOn w:val="a"/>
    <w:rsid w:val="002405CD"/>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2405CD"/>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2405CD"/>
    <w:rPr>
      <w:vertAlign w:val="superscript"/>
    </w:rPr>
  </w:style>
  <w:style w:type="paragraph" w:customStyle="1" w:styleId="HesberHeading">
    <w:name w:val="Hesber Heading"/>
    <w:basedOn w:val="Hesber"/>
    <w:rsid w:val="002405CD"/>
    <w:pPr>
      <w:tabs>
        <w:tab w:val="left" w:pos="624"/>
        <w:tab w:val="left" w:pos="1247"/>
      </w:tabs>
    </w:pPr>
    <w:rPr>
      <w:b/>
      <w:bCs/>
    </w:rPr>
  </w:style>
  <w:style w:type="paragraph" w:customStyle="1" w:styleId="HesberWriters">
    <w:name w:val="Hesber Writers"/>
    <w:basedOn w:val="Hesber"/>
    <w:rsid w:val="002405CD"/>
    <w:pPr>
      <w:spacing w:before="120" w:after="120"/>
      <w:ind w:left="1418"/>
      <w:jc w:val="right"/>
    </w:pPr>
    <w:rPr>
      <w:b/>
      <w:bCs/>
    </w:rPr>
  </w:style>
  <w:style w:type="paragraph" w:customStyle="1" w:styleId="Hesber1st">
    <w:name w:val="Hesber 1st"/>
    <w:basedOn w:val="Hesber"/>
    <w:rsid w:val="002405CD"/>
    <w:pPr>
      <w:tabs>
        <w:tab w:val="left" w:pos="680"/>
        <w:tab w:val="left" w:pos="1020"/>
      </w:tabs>
      <w:ind w:firstLine="0"/>
    </w:pPr>
  </w:style>
  <w:style w:type="character" w:styleId="a6">
    <w:name w:val="endnote reference"/>
    <w:basedOn w:val="a0"/>
    <w:semiHidden/>
    <w:rsid w:val="002405CD"/>
    <w:rPr>
      <w:vertAlign w:val="superscript"/>
    </w:rPr>
  </w:style>
  <w:style w:type="paragraph" w:customStyle="1" w:styleId="TableBlockOutdent">
    <w:name w:val="Table BlockOutdent"/>
    <w:basedOn w:val="TableBlock"/>
    <w:rsid w:val="002405CD"/>
    <w:pPr>
      <w:ind w:left="624" w:hanging="624"/>
    </w:pPr>
  </w:style>
  <w:style w:type="paragraph" w:styleId="a7">
    <w:name w:val="header"/>
    <w:basedOn w:val="a"/>
    <w:rsid w:val="002405CD"/>
    <w:pPr>
      <w:tabs>
        <w:tab w:val="center" w:pos="4153"/>
        <w:tab w:val="right" w:pos="8306"/>
      </w:tabs>
    </w:pPr>
  </w:style>
  <w:style w:type="paragraph" w:styleId="a8">
    <w:name w:val="footer"/>
    <w:basedOn w:val="a"/>
    <w:rsid w:val="002405CD"/>
    <w:pPr>
      <w:tabs>
        <w:tab w:val="center" w:pos="4153"/>
        <w:tab w:val="right" w:pos="8306"/>
      </w:tabs>
    </w:pPr>
  </w:style>
  <w:style w:type="paragraph" w:customStyle="1" w:styleId="HeadDivreiHesber">
    <w:name w:val="Head DivreiHesber"/>
    <w:basedOn w:val="a"/>
    <w:rsid w:val="002405CD"/>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2405CD"/>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2405CD"/>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2405CD"/>
    <w:rPr>
      <w:rFonts w:asciiTheme="majorHAnsi" w:eastAsiaTheme="majorEastAsia" w:hAnsiTheme="majorHAnsi" w:cs="David"/>
      <w:bCs/>
      <w:sz w:val="32"/>
      <w:szCs w:val="36"/>
    </w:rPr>
  </w:style>
  <w:style w:type="character" w:customStyle="1" w:styleId="20">
    <w:name w:val="כותרת 2 תו"/>
    <w:basedOn w:val="a0"/>
    <w:link w:val="2"/>
    <w:rsid w:val="002405CD"/>
    <w:rPr>
      <w:rFonts w:asciiTheme="majorHAnsi" w:eastAsiaTheme="majorEastAsia" w:hAnsiTheme="majorHAnsi" w:cs="David"/>
      <w:bCs/>
      <w:sz w:val="26"/>
      <w:szCs w:val="36"/>
      <w:u w:val="single"/>
    </w:rPr>
  </w:style>
  <w:style w:type="character" w:customStyle="1" w:styleId="30">
    <w:name w:val="כותרת 3 תו"/>
    <w:basedOn w:val="a0"/>
    <w:link w:val="3"/>
    <w:rsid w:val="002405CD"/>
    <w:rPr>
      <w:rFonts w:asciiTheme="majorHAnsi" w:eastAsiaTheme="majorEastAsia" w:hAnsiTheme="majorHAnsi" w:cs="David"/>
      <w:sz w:val="24"/>
      <w:szCs w:val="28"/>
      <w:u w:val="double"/>
    </w:rPr>
  </w:style>
  <w:style w:type="character" w:customStyle="1" w:styleId="40">
    <w:name w:val="כותרת 4 תו"/>
    <w:basedOn w:val="a0"/>
    <w:link w:val="4"/>
    <w:uiPriority w:val="9"/>
    <w:rsid w:val="002405CD"/>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2405CD"/>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2405CD"/>
    <w:pPr>
      <w:widowControl/>
      <w:spacing w:before="120" w:after="120"/>
      <w:outlineLvl w:val="9"/>
    </w:pPr>
    <w:rPr>
      <w:rtl/>
      <w:cs/>
    </w:rPr>
  </w:style>
  <w:style w:type="paragraph" w:styleId="TOC1">
    <w:name w:val="toc 1"/>
    <w:basedOn w:val="a"/>
    <w:next w:val="a"/>
    <w:autoRedefine/>
    <w:uiPriority w:val="39"/>
    <w:unhideWhenUsed/>
    <w:rsid w:val="002405CD"/>
    <w:pPr>
      <w:tabs>
        <w:tab w:val="right" w:leader="dot" w:pos="9629"/>
      </w:tabs>
      <w:spacing w:after="100"/>
    </w:pPr>
    <w:rPr>
      <w:bCs/>
      <w:szCs w:val="22"/>
    </w:rPr>
  </w:style>
  <w:style w:type="paragraph" w:styleId="TOC2">
    <w:name w:val="toc 2"/>
    <w:basedOn w:val="a"/>
    <w:next w:val="a"/>
    <w:uiPriority w:val="39"/>
    <w:unhideWhenUsed/>
    <w:rsid w:val="002405CD"/>
    <w:pPr>
      <w:tabs>
        <w:tab w:val="right" w:leader="dot" w:pos="9628"/>
      </w:tabs>
      <w:spacing w:after="100"/>
    </w:pPr>
    <w:rPr>
      <w:szCs w:val="22"/>
    </w:rPr>
  </w:style>
  <w:style w:type="character" w:styleId="Hyperlink">
    <w:name w:val="Hyperlink"/>
    <w:basedOn w:val="a0"/>
    <w:uiPriority w:val="99"/>
    <w:unhideWhenUsed/>
    <w:rsid w:val="002405CD"/>
    <w:rPr>
      <w:color w:val="0000FF" w:themeColor="hyperlink"/>
      <w:u w:val="single"/>
    </w:rPr>
  </w:style>
  <w:style w:type="paragraph" w:styleId="TOC3">
    <w:name w:val="toc 3"/>
    <w:basedOn w:val="a"/>
    <w:next w:val="a"/>
    <w:uiPriority w:val="39"/>
    <w:unhideWhenUsed/>
    <w:rsid w:val="002405CD"/>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2405CD"/>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2405CD"/>
    <w:pPr>
      <w:tabs>
        <w:tab w:val="right" w:leader="dot" w:pos="9628"/>
      </w:tabs>
      <w:spacing w:after="100"/>
      <w:ind w:left="567"/>
    </w:pPr>
    <w:rPr>
      <w:szCs w:val="22"/>
    </w:rPr>
  </w:style>
  <w:style w:type="paragraph" w:styleId="TOC6">
    <w:name w:val="toc 6"/>
    <w:basedOn w:val="a"/>
    <w:next w:val="a"/>
    <w:autoRedefine/>
    <w:semiHidden/>
    <w:unhideWhenUsed/>
    <w:rsid w:val="002405CD"/>
    <w:pPr>
      <w:spacing w:after="100"/>
      <w:ind w:left="850"/>
    </w:pPr>
  </w:style>
  <w:style w:type="paragraph" w:styleId="TOC7">
    <w:name w:val="toc 7"/>
    <w:basedOn w:val="a"/>
    <w:next w:val="a"/>
    <w:autoRedefine/>
    <w:semiHidden/>
    <w:unhideWhenUsed/>
    <w:rsid w:val="002405CD"/>
    <w:pPr>
      <w:spacing w:after="100"/>
      <w:ind w:left="1020"/>
    </w:pPr>
  </w:style>
  <w:style w:type="paragraph" w:styleId="TOC8">
    <w:name w:val="toc 8"/>
    <w:basedOn w:val="a"/>
    <w:next w:val="a"/>
    <w:autoRedefine/>
    <w:semiHidden/>
    <w:unhideWhenUsed/>
    <w:rsid w:val="002405CD"/>
    <w:pPr>
      <w:spacing w:after="100"/>
      <w:ind w:left="1190"/>
    </w:pPr>
  </w:style>
  <w:style w:type="paragraph" w:styleId="TOC9">
    <w:name w:val="toc 9"/>
    <w:basedOn w:val="a"/>
    <w:next w:val="a"/>
    <w:autoRedefine/>
    <w:semiHidden/>
    <w:unhideWhenUsed/>
    <w:rsid w:val="002405CD"/>
    <w:pPr>
      <w:spacing w:after="100"/>
      <w:ind w:left="1360"/>
    </w:pPr>
  </w:style>
  <w:style w:type="paragraph" w:customStyle="1" w:styleId="TableHead2">
    <w:name w:val="Table Head2"/>
    <w:basedOn w:val="TableHead"/>
    <w:qFormat/>
    <w:rsid w:val="002405CD"/>
    <w:pPr>
      <w:outlineLvl w:val="9"/>
    </w:pPr>
  </w:style>
  <w:style w:type="paragraph" w:customStyle="1" w:styleId="TableSideHeading2">
    <w:name w:val="Table SideHeading2"/>
    <w:basedOn w:val="TableSideHeading"/>
    <w:autoRedefine/>
    <w:qFormat/>
    <w:rsid w:val="002405CD"/>
    <w:pPr>
      <w:keepLines w:val="0"/>
      <w:outlineLvl w:val="9"/>
    </w:pPr>
  </w:style>
  <w:style w:type="paragraph" w:customStyle="1" w:styleId="0">
    <w:name w:val="סגנון שורה ראשונה:  0  ס''מ"/>
    <w:basedOn w:val="2"/>
    <w:rsid w:val="002405CD"/>
    <w:rPr>
      <w:rFonts w:eastAsia="Times New Roman"/>
    </w:rPr>
  </w:style>
  <w:style w:type="paragraph" w:styleId="ae">
    <w:name w:val="List Paragraph"/>
    <w:basedOn w:val="a"/>
    <w:uiPriority w:val="34"/>
    <w:qFormat/>
    <w:rsid w:val="002405CD"/>
    <w:pPr>
      <w:widowControl/>
      <w:spacing w:line="259" w:lineRule="auto"/>
    </w:pPr>
    <w:rPr>
      <w:rFonts w:asciiTheme="minorHAnsi" w:hAnsiTheme="minorHAnsi"/>
      <w:sz w:val="22"/>
    </w:rPr>
  </w:style>
  <w:style w:type="table" w:styleId="af">
    <w:name w:val="Table Grid"/>
    <w:basedOn w:val="a1"/>
    <w:rsid w:val="00240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2405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2405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2405CD"/>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2405CD"/>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E7DAE050-9099-48CF-B07C-CB98567EA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D26FF50-4C2F-43D8-89E5-4D380E12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513</Words>
  <Characters>2927</Characters>
  <Application>Microsoft Office Word</Application>
  <DocSecurity>0</DocSecurity>
  <Lines>24</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2020-05-05T10:47:00Z</cp:lastPrinted>
  <dcterms:created xsi:type="dcterms:W3CDTF">2015-04-20T09:58:00Z</dcterms:created>
  <dcterms:modified xsi:type="dcterms:W3CDTF">2020-05-05T10:47:00Z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2086523</vt:r8>
  </property>
</Properties>
</file>