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2086739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B3C6603"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E73A89">
        <w:rPr>
          <w:rtl/>
        </w:rPr>
        <w:tab/>
      </w:r>
      <w:r>
        <w:rPr>
          <w:rFonts w:hint="cs"/>
          <w:rtl/>
        </w:rPr>
        <w:t>פ/597/23</w:t>
      </w:r>
      <w:bookmarkEnd w:id="6"/>
    </w:p>
    <w:p w14:paraId="7F6961AC" w14:textId="77777777" w:rsidR="00E13C27" w:rsidRDefault="00E13C27" w:rsidP="00E13C27">
      <w:pPr>
        <w:ind w:left="2880" w:firstLine="720"/>
        <w:rPr>
          <w:sz w:val="26"/>
          <w:szCs w:val="26"/>
          <w:rtl/>
        </w:rPr>
      </w:pPr>
    </w:p>
    <w:p w14:paraId="7F6961AD" w14:textId="3F0AA541" w:rsidR="00E13C27" w:rsidRPr="00F67051" w:rsidRDefault="00A443CF" w:rsidP="00BD4D79">
      <w:pPr>
        <w:pStyle w:val="HeadHatzaotHok"/>
        <w:rPr>
          <w:rtl/>
        </w:rPr>
      </w:pPr>
      <w:bookmarkStart w:id="7" w:name="LGS_Subject"/>
      <w:r>
        <w:rPr>
          <w:rFonts w:hint="cs"/>
          <w:rtl/>
        </w:rPr>
        <w:t>הצעת חוק יום לציון רצח העם הארמני, התש"ף</w:t>
      </w:r>
      <w:r w:rsidR="00BD4D79">
        <w:rPr>
          <w:rFonts w:hint="eastAsia"/>
          <w:rtl/>
        </w:rPr>
        <w:t>–</w:t>
      </w:r>
      <w:r>
        <w:rPr>
          <w:rFonts w:hint="cs"/>
          <w:rtl/>
        </w:rPr>
        <w:t>2020</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83072C" w:rsidRPr="0083072C" w14:paraId="035EEF3D" w14:textId="77777777" w:rsidTr="008E50B4">
        <w:trPr>
          <w:cantSplit/>
        </w:trPr>
        <w:tc>
          <w:tcPr>
            <w:tcW w:w="1871" w:type="dxa"/>
          </w:tcPr>
          <w:p w14:paraId="3863FF98" w14:textId="1E269DD6" w:rsidR="0083072C" w:rsidRPr="0083072C" w:rsidRDefault="0083072C" w:rsidP="0083072C">
            <w:pPr>
              <w:pStyle w:val="TableSideHeading"/>
              <w:keepLines w:val="0"/>
            </w:pPr>
            <w:r w:rsidRPr="0083072C">
              <w:rPr>
                <w:rFonts w:hint="cs"/>
                <w:rtl/>
              </w:rPr>
              <w:t>יום ציון רצח העם הארמני</w:t>
            </w:r>
          </w:p>
        </w:tc>
        <w:tc>
          <w:tcPr>
            <w:tcW w:w="624" w:type="dxa"/>
          </w:tcPr>
          <w:p w14:paraId="6F513EF6" w14:textId="4A81EB5D" w:rsidR="0083072C" w:rsidRPr="0083072C" w:rsidRDefault="0083072C" w:rsidP="0083072C">
            <w:pPr>
              <w:pStyle w:val="TableText"/>
              <w:keepLines w:val="0"/>
            </w:pPr>
            <w:r w:rsidRPr="0083072C">
              <w:rPr>
                <w:rFonts w:hint="cs"/>
                <w:rtl/>
              </w:rPr>
              <w:t>1.</w:t>
            </w:r>
          </w:p>
        </w:tc>
        <w:tc>
          <w:tcPr>
            <w:tcW w:w="7143" w:type="dxa"/>
          </w:tcPr>
          <w:p w14:paraId="1AE94DEB" w14:textId="752F39B4" w:rsidR="0083072C" w:rsidRPr="008E50B4" w:rsidRDefault="0083072C" w:rsidP="008E50B4">
            <w:pPr>
              <w:pStyle w:val="TableBlock"/>
            </w:pPr>
            <w:r w:rsidRPr="008E50B4">
              <w:rPr>
                <w:rtl/>
              </w:rPr>
              <w:t>(א)</w:t>
            </w:r>
            <w:r w:rsidRPr="008E50B4">
              <w:rPr>
                <w:rtl/>
              </w:rPr>
              <w:tab/>
            </w:r>
            <w:r w:rsidRPr="008E50B4">
              <w:rPr>
                <w:rFonts w:hint="eastAsia"/>
                <w:rtl/>
              </w:rPr>
              <w:t>מדי</w:t>
            </w:r>
            <w:r w:rsidRPr="008E50B4">
              <w:rPr>
                <w:rtl/>
              </w:rPr>
              <w:t xml:space="preserve"> שנה, ביום 24 באפריל, יקוים יום לציון רצח העם הארמני; הממשלה רשאית לקבוע פעילויות שונות לציון היום כאמור.   </w:t>
            </w:r>
          </w:p>
        </w:tc>
      </w:tr>
      <w:tr w:rsidR="0083072C" w:rsidRPr="0083072C" w14:paraId="3D9B61D1" w14:textId="77777777" w:rsidTr="008E50B4">
        <w:trPr>
          <w:cantSplit/>
        </w:trPr>
        <w:tc>
          <w:tcPr>
            <w:tcW w:w="1871" w:type="dxa"/>
          </w:tcPr>
          <w:p w14:paraId="6C0CB9D8" w14:textId="77777777" w:rsidR="0083072C" w:rsidRPr="0083072C" w:rsidRDefault="0083072C" w:rsidP="0083072C">
            <w:pPr>
              <w:pStyle w:val="TableSideHeading"/>
              <w:keepLines w:val="0"/>
            </w:pPr>
          </w:p>
        </w:tc>
        <w:tc>
          <w:tcPr>
            <w:tcW w:w="624" w:type="dxa"/>
          </w:tcPr>
          <w:p w14:paraId="3F4286A2" w14:textId="77777777" w:rsidR="0083072C" w:rsidRPr="0083072C" w:rsidRDefault="0083072C" w:rsidP="0083072C">
            <w:pPr>
              <w:pStyle w:val="TableText"/>
              <w:keepLines w:val="0"/>
            </w:pPr>
          </w:p>
        </w:tc>
        <w:tc>
          <w:tcPr>
            <w:tcW w:w="7143" w:type="dxa"/>
          </w:tcPr>
          <w:p w14:paraId="7633D5BB" w14:textId="16728442" w:rsidR="0083072C" w:rsidRPr="0083072C" w:rsidRDefault="0083072C" w:rsidP="008E50B4">
            <w:pPr>
              <w:pStyle w:val="TableBlock"/>
            </w:pPr>
            <w:r w:rsidRPr="0083072C">
              <w:rPr>
                <w:rFonts w:hint="cs"/>
                <w:rtl/>
              </w:rPr>
              <w:t>(ב)</w:t>
            </w:r>
            <w:r w:rsidRPr="0083072C">
              <w:rPr>
                <w:rtl/>
              </w:rPr>
              <w:tab/>
            </w:r>
            <w:r w:rsidRPr="0083072C">
              <w:rPr>
                <w:rFonts w:hint="cs"/>
                <w:rtl/>
              </w:rPr>
              <w:t>חל 24 באפריל ביום חג, מנוחה או שבתון, ביום זיכרון או ביום ציון ממלכתי, או ביום שלפני אחד הימים כאמור, רשאית הממשלה לקבוע שהיום לציון רצח העם הארמני יחול ביום אחר, במועד סמוך.</w:t>
            </w:r>
          </w:p>
        </w:tc>
      </w:tr>
    </w:tbl>
    <w:p w14:paraId="275BD8B2" w14:textId="77777777" w:rsidR="00BD4D79" w:rsidRDefault="00BD4D79" w:rsidP="008E50B4">
      <w:pPr>
        <w:pStyle w:val="HeadDivreiHesber"/>
        <w:tabs>
          <w:tab w:val="left" w:pos="4246"/>
          <w:tab w:val="center" w:pos="4989"/>
        </w:tabs>
        <w:jc w:val="left"/>
        <w:rPr>
          <w:rtl/>
        </w:rPr>
      </w:pPr>
      <w:r>
        <w:rPr>
          <w:rtl/>
        </w:rPr>
        <w:tab/>
      </w:r>
    </w:p>
    <w:p w14:paraId="7F6961CA" w14:textId="0994EC26" w:rsidR="002D1EE3" w:rsidRPr="00BD4D79" w:rsidRDefault="00BD4D79" w:rsidP="008E50B4">
      <w:pPr>
        <w:pStyle w:val="HeadDivreiHesber"/>
        <w:rPr>
          <w:rtl/>
        </w:rPr>
      </w:pPr>
      <w:r>
        <w:rPr>
          <w:rtl/>
        </w:rPr>
        <w:tab/>
      </w:r>
      <w:r w:rsidR="002D1EE3" w:rsidRPr="00BD4D79">
        <w:rPr>
          <w:rFonts w:hint="eastAsia"/>
          <w:rtl/>
        </w:rPr>
        <w:t>דברי</w:t>
      </w:r>
      <w:r w:rsidR="002D1EE3" w:rsidRPr="00BD4D79">
        <w:rPr>
          <w:rtl/>
        </w:rPr>
        <w:t xml:space="preserve"> </w:t>
      </w:r>
      <w:r w:rsidR="002D1EE3" w:rsidRPr="00BD4D79">
        <w:rPr>
          <w:rFonts w:hint="eastAsia"/>
          <w:rtl/>
        </w:rPr>
        <w:t>הסבר</w:t>
      </w:r>
    </w:p>
    <w:p w14:paraId="143BBEBC" w14:textId="77777777" w:rsidR="0083072C" w:rsidRPr="00BD4D79" w:rsidRDefault="0083072C" w:rsidP="008E50B4">
      <w:pPr>
        <w:pStyle w:val="Hesber"/>
        <w:rPr>
          <w:rtl/>
        </w:rPr>
      </w:pPr>
      <w:r w:rsidRPr="00BD4D79">
        <w:rPr>
          <w:rFonts w:hint="eastAsia"/>
          <w:rtl/>
        </w:rPr>
        <w:t>רצח</w:t>
      </w:r>
      <w:r w:rsidRPr="00BD4D79">
        <w:rPr>
          <w:rtl/>
        </w:rPr>
        <w:t xml:space="preserve"> </w:t>
      </w:r>
      <w:r w:rsidRPr="00BD4D79">
        <w:rPr>
          <w:rFonts w:hint="eastAsia"/>
          <w:rtl/>
        </w:rPr>
        <w:t>העם</w:t>
      </w:r>
      <w:r w:rsidRPr="00BD4D79">
        <w:rPr>
          <w:rtl/>
        </w:rPr>
        <w:t xml:space="preserve"> </w:t>
      </w:r>
      <w:r w:rsidRPr="00BD4D79">
        <w:rPr>
          <w:rFonts w:hint="eastAsia"/>
          <w:rtl/>
        </w:rPr>
        <w:t>הארמני</w:t>
      </w:r>
      <w:r w:rsidRPr="00BD4D79">
        <w:rPr>
          <w:rtl/>
        </w:rPr>
        <w:t xml:space="preserve"> </w:t>
      </w:r>
      <w:r w:rsidRPr="00BD4D79">
        <w:rPr>
          <w:rFonts w:hint="eastAsia"/>
          <w:rtl/>
        </w:rPr>
        <w:t>התאפיין</w:t>
      </w:r>
      <w:r w:rsidRPr="00BD4D79">
        <w:rPr>
          <w:rtl/>
        </w:rPr>
        <w:t xml:space="preserve"> </w:t>
      </w:r>
      <w:r w:rsidRPr="00BD4D79">
        <w:rPr>
          <w:rFonts w:hint="eastAsia"/>
          <w:rtl/>
        </w:rPr>
        <w:t>במעשי</w:t>
      </w:r>
      <w:r w:rsidRPr="00BD4D79">
        <w:rPr>
          <w:rtl/>
        </w:rPr>
        <w:t xml:space="preserve"> </w:t>
      </w:r>
      <w:r w:rsidRPr="00BD4D79">
        <w:rPr>
          <w:rFonts w:hint="eastAsia"/>
          <w:rtl/>
        </w:rPr>
        <w:t>טבח</w:t>
      </w:r>
      <w:r w:rsidRPr="00BD4D79">
        <w:rPr>
          <w:rtl/>
        </w:rPr>
        <w:t xml:space="preserve">, </w:t>
      </w:r>
      <w:r w:rsidRPr="00BD4D79">
        <w:rPr>
          <w:rFonts w:hint="eastAsia"/>
          <w:rtl/>
        </w:rPr>
        <w:t>אונס</w:t>
      </w:r>
      <w:r w:rsidRPr="00BD4D79">
        <w:rPr>
          <w:rtl/>
        </w:rPr>
        <w:t xml:space="preserve">, </w:t>
      </w:r>
      <w:r w:rsidRPr="00BD4D79">
        <w:rPr>
          <w:rFonts w:hint="eastAsia"/>
          <w:rtl/>
        </w:rPr>
        <w:t>ביזה</w:t>
      </w:r>
      <w:r w:rsidRPr="00BD4D79">
        <w:rPr>
          <w:rtl/>
        </w:rPr>
        <w:t xml:space="preserve">, </w:t>
      </w:r>
      <w:r w:rsidRPr="00BD4D79">
        <w:rPr>
          <w:rFonts w:hint="eastAsia"/>
          <w:rtl/>
        </w:rPr>
        <w:t>הרעבה</w:t>
      </w:r>
      <w:r w:rsidRPr="00BD4D79">
        <w:rPr>
          <w:rtl/>
        </w:rPr>
        <w:t xml:space="preserve"> </w:t>
      </w:r>
      <w:r w:rsidRPr="00BD4D79">
        <w:rPr>
          <w:rFonts w:hint="eastAsia"/>
          <w:rtl/>
        </w:rPr>
        <w:t>והתעללות</w:t>
      </w:r>
      <w:r w:rsidRPr="00BD4D79">
        <w:rPr>
          <w:rtl/>
        </w:rPr>
        <w:t xml:space="preserve"> </w:t>
      </w:r>
      <w:r w:rsidRPr="00BD4D79">
        <w:rPr>
          <w:rFonts w:hint="eastAsia"/>
          <w:rtl/>
        </w:rPr>
        <w:t>המוניים</w:t>
      </w:r>
      <w:r w:rsidRPr="00BD4D79">
        <w:rPr>
          <w:rtl/>
        </w:rPr>
        <w:t xml:space="preserve">, </w:t>
      </w:r>
      <w:r w:rsidRPr="00BD4D79">
        <w:rPr>
          <w:rFonts w:hint="eastAsia"/>
          <w:rtl/>
        </w:rPr>
        <w:t>גירוש</w:t>
      </w:r>
      <w:r w:rsidRPr="00BD4D79">
        <w:rPr>
          <w:rtl/>
        </w:rPr>
        <w:t xml:space="preserve"> </w:t>
      </w:r>
      <w:r w:rsidRPr="00BD4D79">
        <w:rPr>
          <w:rFonts w:hint="eastAsia"/>
          <w:rtl/>
        </w:rPr>
        <w:t>המוני</w:t>
      </w:r>
      <w:r w:rsidRPr="00BD4D79">
        <w:rPr>
          <w:rtl/>
        </w:rPr>
        <w:t xml:space="preserve"> </w:t>
      </w:r>
      <w:r w:rsidRPr="00BD4D79">
        <w:rPr>
          <w:rFonts w:hint="eastAsia"/>
          <w:rtl/>
        </w:rPr>
        <w:t>וצעדות</w:t>
      </w:r>
      <w:r w:rsidRPr="00BD4D79">
        <w:rPr>
          <w:rtl/>
        </w:rPr>
        <w:t xml:space="preserve"> </w:t>
      </w:r>
      <w:r w:rsidRPr="00BD4D79">
        <w:rPr>
          <w:rFonts w:hint="eastAsia"/>
          <w:rtl/>
        </w:rPr>
        <w:t>מוות</w:t>
      </w:r>
      <w:r w:rsidRPr="00BD4D79">
        <w:rPr>
          <w:rtl/>
        </w:rPr>
        <w:t xml:space="preserve"> </w:t>
      </w:r>
      <w:r w:rsidRPr="00BD4D79">
        <w:rPr>
          <w:rFonts w:hint="eastAsia"/>
          <w:rtl/>
        </w:rPr>
        <w:t>של</w:t>
      </w:r>
      <w:r w:rsidRPr="00BD4D79">
        <w:rPr>
          <w:rtl/>
        </w:rPr>
        <w:t xml:space="preserve"> </w:t>
      </w:r>
      <w:r w:rsidRPr="00BD4D79">
        <w:rPr>
          <w:rFonts w:hint="eastAsia"/>
          <w:rtl/>
        </w:rPr>
        <w:t>מאות</w:t>
      </w:r>
      <w:r w:rsidRPr="00BD4D79">
        <w:rPr>
          <w:rtl/>
        </w:rPr>
        <w:t xml:space="preserve"> </w:t>
      </w:r>
      <w:r w:rsidRPr="00BD4D79">
        <w:rPr>
          <w:rFonts w:hint="eastAsia"/>
          <w:rtl/>
        </w:rPr>
        <w:t>אלפי</w:t>
      </w:r>
      <w:r w:rsidRPr="00BD4D79">
        <w:rPr>
          <w:rtl/>
        </w:rPr>
        <w:t xml:space="preserve"> </w:t>
      </w:r>
      <w:r w:rsidRPr="00BD4D79">
        <w:rPr>
          <w:rFonts w:hint="eastAsia"/>
          <w:rtl/>
        </w:rPr>
        <w:t>אנשים</w:t>
      </w:r>
      <w:r w:rsidRPr="00BD4D79">
        <w:rPr>
          <w:rtl/>
        </w:rPr>
        <w:t xml:space="preserve"> </w:t>
      </w:r>
      <w:r w:rsidRPr="00BD4D79">
        <w:rPr>
          <w:rFonts w:hint="eastAsia"/>
          <w:rtl/>
        </w:rPr>
        <w:t>לפאתי</w:t>
      </w:r>
      <w:r w:rsidRPr="00BD4D79">
        <w:rPr>
          <w:rtl/>
        </w:rPr>
        <w:t xml:space="preserve"> </w:t>
      </w:r>
      <w:r w:rsidRPr="00BD4D79">
        <w:rPr>
          <w:rFonts w:hint="eastAsia"/>
          <w:rtl/>
        </w:rPr>
        <w:t>טורקיה</w:t>
      </w:r>
      <w:r w:rsidRPr="00BD4D79">
        <w:rPr>
          <w:rtl/>
        </w:rPr>
        <w:t xml:space="preserve"> </w:t>
      </w:r>
      <w:r w:rsidRPr="00BD4D79">
        <w:rPr>
          <w:rFonts w:hint="eastAsia"/>
          <w:rtl/>
        </w:rPr>
        <w:t>ולמדבר</w:t>
      </w:r>
      <w:r w:rsidRPr="00BD4D79">
        <w:rPr>
          <w:rtl/>
        </w:rPr>
        <w:t xml:space="preserve"> </w:t>
      </w:r>
      <w:r w:rsidRPr="00BD4D79">
        <w:rPr>
          <w:rFonts w:hint="eastAsia"/>
          <w:rtl/>
        </w:rPr>
        <w:t>הסורי</w:t>
      </w:r>
      <w:r w:rsidRPr="00BD4D79">
        <w:rPr>
          <w:rtl/>
        </w:rPr>
        <w:t xml:space="preserve">. </w:t>
      </w:r>
      <w:r w:rsidRPr="00BD4D79">
        <w:rPr>
          <w:rFonts w:hint="eastAsia"/>
          <w:rtl/>
        </w:rPr>
        <w:t>לארמנים</w:t>
      </w:r>
      <w:r w:rsidRPr="00BD4D79">
        <w:rPr>
          <w:rtl/>
        </w:rPr>
        <w:t xml:space="preserve"> </w:t>
      </w:r>
      <w:r w:rsidRPr="00BD4D79">
        <w:rPr>
          <w:rFonts w:hint="eastAsia"/>
          <w:rtl/>
        </w:rPr>
        <w:t>שהצליחו</w:t>
      </w:r>
      <w:r w:rsidRPr="00BD4D79">
        <w:rPr>
          <w:rtl/>
        </w:rPr>
        <w:t xml:space="preserve"> </w:t>
      </w:r>
      <w:r w:rsidRPr="00BD4D79">
        <w:rPr>
          <w:rFonts w:hint="eastAsia"/>
          <w:rtl/>
        </w:rPr>
        <w:t>לשרוד</w:t>
      </w:r>
      <w:r w:rsidRPr="00BD4D79">
        <w:rPr>
          <w:rtl/>
        </w:rPr>
        <w:t xml:space="preserve"> </w:t>
      </w:r>
      <w:r w:rsidRPr="00BD4D79">
        <w:rPr>
          <w:rFonts w:hint="eastAsia"/>
          <w:rtl/>
        </w:rPr>
        <w:t>את</w:t>
      </w:r>
      <w:r w:rsidRPr="00BD4D79">
        <w:rPr>
          <w:rtl/>
        </w:rPr>
        <w:t xml:space="preserve"> </w:t>
      </w:r>
      <w:r w:rsidRPr="00BD4D79">
        <w:rPr>
          <w:rFonts w:hint="eastAsia"/>
          <w:rtl/>
        </w:rPr>
        <w:t>הצעדות</w:t>
      </w:r>
      <w:r w:rsidRPr="00BD4D79">
        <w:rPr>
          <w:rtl/>
        </w:rPr>
        <w:t xml:space="preserve">, </w:t>
      </w:r>
      <w:r w:rsidRPr="00BD4D79">
        <w:rPr>
          <w:rFonts w:hint="eastAsia"/>
          <w:rtl/>
        </w:rPr>
        <w:t>המתינו</w:t>
      </w:r>
      <w:r w:rsidRPr="00BD4D79">
        <w:rPr>
          <w:rtl/>
        </w:rPr>
        <w:t xml:space="preserve"> 25 </w:t>
      </w:r>
      <w:r w:rsidRPr="00BD4D79">
        <w:rPr>
          <w:rFonts w:hint="eastAsia"/>
          <w:rtl/>
        </w:rPr>
        <w:t>מחנות</w:t>
      </w:r>
      <w:r w:rsidRPr="00BD4D79">
        <w:rPr>
          <w:rtl/>
        </w:rPr>
        <w:t xml:space="preserve"> </w:t>
      </w:r>
      <w:r w:rsidRPr="00BD4D79">
        <w:rPr>
          <w:rFonts w:hint="eastAsia"/>
          <w:rtl/>
        </w:rPr>
        <w:t>ריכוז</w:t>
      </w:r>
      <w:r w:rsidRPr="00BD4D79">
        <w:rPr>
          <w:rtl/>
        </w:rPr>
        <w:t xml:space="preserve"> </w:t>
      </w:r>
      <w:r w:rsidRPr="00BD4D79">
        <w:rPr>
          <w:rFonts w:hint="eastAsia"/>
          <w:rtl/>
        </w:rPr>
        <w:t>שהוקמו</w:t>
      </w:r>
      <w:r w:rsidRPr="00BD4D79">
        <w:rPr>
          <w:rtl/>
        </w:rPr>
        <w:t xml:space="preserve"> </w:t>
      </w:r>
      <w:r w:rsidRPr="00BD4D79">
        <w:rPr>
          <w:rFonts w:hint="eastAsia"/>
          <w:rtl/>
        </w:rPr>
        <w:t>על</w:t>
      </w:r>
      <w:r w:rsidRPr="00BD4D79">
        <w:rPr>
          <w:rtl/>
        </w:rPr>
        <w:t xml:space="preserve"> </w:t>
      </w:r>
      <w:r w:rsidRPr="00BD4D79">
        <w:rPr>
          <w:rFonts w:hint="eastAsia"/>
          <w:rtl/>
        </w:rPr>
        <w:t>ידי</w:t>
      </w:r>
      <w:r w:rsidRPr="00BD4D79">
        <w:rPr>
          <w:rtl/>
        </w:rPr>
        <w:t xml:space="preserve"> </w:t>
      </w:r>
      <w:r w:rsidRPr="00BD4D79">
        <w:rPr>
          <w:rFonts w:hint="eastAsia"/>
          <w:rtl/>
        </w:rPr>
        <w:t>הממשלה</w:t>
      </w:r>
      <w:r w:rsidRPr="00BD4D79">
        <w:rPr>
          <w:rtl/>
        </w:rPr>
        <w:t xml:space="preserve"> </w:t>
      </w:r>
      <w:r w:rsidRPr="00BD4D79">
        <w:rPr>
          <w:rFonts w:hint="eastAsia"/>
          <w:rtl/>
        </w:rPr>
        <w:t>העות</w:t>
      </w:r>
      <w:r w:rsidRPr="00BD4D79">
        <w:rPr>
          <w:rtl/>
        </w:rPr>
        <w:t>'מני</w:t>
      </w:r>
      <w:r w:rsidRPr="00BD4D79">
        <w:rPr>
          <w:rFonts w:hint="eastAsia"/>
          <w:rtl/>
        </w:rPr>
        <w:t>ת</w:t>
      </w:r>
      <w:r w:rsidRPr="00BD4D79">
        <w:rPr>
          <w:rtl/>
        </w:rPr>
        <w:t xml:space="preserve"> על מנת להיפטר מהם. במחנות כמו </w:t>
      </w:r>
      <w:r w:rsidRPr="00BD4D79">
        <w:t>LALE, TEFRIDIE, DIPSI, RAS EL-AIN, DEL-EL, KATMA, RADIO, AZAZ</w:t>
      </w:r>
      <w:r w:rsidRPr="00BD4D79">
        <w:rPr>
          <w:rtl/>
        </w:rPr>
        <w:t xml:space="preserve"> ואחרים הומתו על ידי הטורקים בהרעבה ובשיטות רצח מזוויעות מאות אלפים. נשים וילדים הועמסו על סירות והוטבעו בים או שהוצאו להורג בשריפה או באמצעות גז רעיל. ההערכה היא כי עד 1923 מחציתה של האוכלוסייה הארמנית בטורקיה (שליש מהאוכלוסיי</w:t>
      </w:r>
      <w:r w:rsidRPr="00BD4D79">
        <w:rPr>
          <w:rFonts w:hint="eastAsia"/>
          <w:rtl/>
        </w:rPr>
        <w:t>ה</w:t>
      </w:r>
      <w:r w:rsidRPr="00BD4D79">
        <w:rPr>
          <w:rtl/>
        </w:rPr>
        <w:t xml:space="preserve"> הארמנית בעולם) נספתה כחלק ממדיניות ואידיאולוגיה רצחנית מכוונת ומתוכננת של העות'מאניי</w:t>
      </w:r>
      <w:r w:rsidRPr="00BD4D79">
        <w:rPr>
          <w:rFonts w:hint="eastAsia"/>
          <w:rtl/>
        </w:rPr>
        <w:t>ם</w:t>
      </w:r>
      <w:r w:rsidRPr="00BD4D79">
        <w:rPr>
          <w:rtl/>
        </w:rPr>
        <w:t xml:space="preserve"> "לטהר" את אסיה הקטנה מנוצרים. בשל היקף הזוועות הנשיא תיאודור רוזוולט אפיין את המאורע כ"פשע הגדול ביותר של המלחמה" (מלחמת העולם הראשונה) ואילו "הניו יורק טיימס" דיווח בשיטתיות ובעקביות על "תכנית ברורה להשמדת כל העם הארמני".</w:t>
      </w:r>
    </w:p>
    <w:p w14:paraId="5310FF06" w14:textId="77777777" w:rsidR="0083072C" w:rsidRPr="00BD4D79" w:rsidRDefault="0083072C" w:rsidP="008E50B4">
      <w:pPr>
        <w:pStyle w:val="Hesber"/>
        <w:rPr>
          <w:rtl/>
        </w:rPr>
      </w:pPr>
      <w:r w:rsidRPr="00BD4D79">
        <w:rPr>
          <w:rFonts w:hint="eastAsia"/>
          <w:rtl/>
        </w:rPr>
        <w:t>עד</w:t>
      </w:r>
      <w:r w:rsidRPr="00BD4D79">
        <w:rPr>
          <w:rtl/>
        </w:rPr>
        <w:t xml:space="preserve"> כה הכריזו 29 מדינות באופן רשמי על הכרתן ברצח העם הארמני ומנהיגי העולם אף נותנים לכך ביטוי בנאומיהם השונים, בגיבוי מחקרים עבים של חוקרים והיסטוריונים. על אף האמור, עד כה נמנעה מדינת ישראל מלהכיר ברצח העם הארמני ולמעשה הצניעה אותו כדי להימנע מפגיעה ביחסיה עם טורקיה. עם זאת, ברור שדווקא מבני העם היהודי, שעברו את מאורעות השואה ומתמודדים עד היום עם ניסיונות נרחבים ובוטים </w:t>
      </w:r>
      <w:r w:rsidRPr="00BD4D79">
        <w:rPr>
          <w:rFonts w:hint="eastAsia"/>
          <w:rtl/>
        </w:rPr>
        <w:t>להכחישה</w:t>
      </w:r>
      <w:r w:rsidRPr="00BD4D79">
        <w:rPr>
          <w:rtl/>
        </w:rPr>
        <w:t xml:space="preserve"> ולגמדה, מצופה היה מבחינה מוסרית ואנושית להעניק את אותה </w:t>
      </w:r>
      <w:r w:rsidRPr="00BD4D79">
        <w:rPr>
          <w:rFonts w:hint="eastAsia"/>
          <w:rtl/>
        </w:rPr>
        <w:lastRenderedPageBreak/>
        <w:t>הכרה</w:t>
      </w:r>
      <w:r w:rsidRPr="00BD4D79">
        <w:rPr>
          <w:rtl/>
        </w:rPr>
        <w:t xml:space="preserve">, החשובה גם לעתיד. אם לא נכיר את ההיסטוריה ונלמד אותה </w:t>
      </w:r>
      <w:r w:rsidRPr="00BD4D79">
        <w:rPr>
          <w:rFonts w:hint="eastAsia"/>
          <w:rtl/>
        </w:rPr>
        <w:t>–</w:t>
      </w:r>
      <w:r w:rsidRPr="00BD4D79">
        <w:rPr>
          <w:rtl/>
        </w:rPr>
        <w:t xml:space="preserve"> קיימת סכנה שהיא תחזור על עצמה. העם היהודי תבע וקיבל הכרה מן העולם בעניין אחריותו לשואת היהודים, והכנסת, כריבון המייצג את העם, אינה יכולה להרשות לעצמה להתעלם מרצח עם אחר.</w:t>
      </w:r>
    </w:p>
    <w:p w14:paraId="4E146305" w14:textId="5FE51EA7" w:rsidR="0083072C" w:rsidRDefault="0083072C" w:rsidP="008E50B4">
      <w:pPr>
        <w:pStyle w:val="Hesber"/>
        <w:rPr>
          <w:rtl/>
        </w:rPr>
      </w:pPr>
      <w:r w:rsidRPr="00BD4D79">
        <w:rPr>
          <w:rFonts w:hint="eastAsia"/>
          <w:rtl/>
        </w:rPr>
        <w:t>הצעות</w:t>
      </w:r>
      <w:r w:rsidRPr="00BD4D79">
        <w:rPr>
          <w:rtl/>
        </w:rPr>
        <w:t xml:space="preserve"> </w:t>
      </w:r>
      <w:r w:rsidRPr="00BD4D79">
        <w:rPr>
          <w:rFonts w:hint="eastAsia"/>
          <w:rtl/>
        </w:rPr>
        <w:t>חוק</w:t>
      </w:r>
      <w:r w:rsidRPr="00BD4D79">
        <w:rPr>
          <w:rtl/>
        </w:rPr>
        <w:t xml:space="preserve"> </w:t>
      </w:r>
      <w:r w:rsidRPr="00BD4D79">
        <w:rPr>
          <w:rFonts w:hint="eastAsia"/>
          <w:rtl/>
        </w:rPr>
        <w:t>זהות</w:t>
      </w:r>
      <w:r w:rsidRPr="00BD4D79">
        <w:rPr>
          <w:rtl/>
        </w:rPr>
        <w:t xml:space="preserve"> </w:t>
      </w:r>
      <w:r w:rsidRPr="00BD4D79">
        <w:rPr>
          <w:rFonts w:hint="eastAsia"/>
          <w:rtl/>
        </w:rPr>
        <w:t>הונחו</w:t>
      </w:r>
      <w:r w:rsidRPr="00BD4D79">
        <w:rPr>
          <w:rtl/>
        </w:rPr>
        <w:t xml:space="preserve"> </w:t>
      </w:r>
      <w:r w:rsidRPr="00BD4D79">
        <w:rPr>
          <w:rFonts w:hint="eastAsia"/>
          <w:rtl/>
        </w:rPr>
        <w:t>על</w:t>
      </w:r>
      <w:r w:rsidRPr="00BD4D79">
        <w:rPr>
          <w:rtl/>
        </w:rPr>
        <w:t xml:space="preserve"> </w:t>
      </w:r>
      <w:r w:rsidRPr="00BD4D79">
        <w:rPr>
          <w:rFonts w:hint="eastAsia"/>
          <w:rtl/>
        </w:rPr>
        <w:t>שולחן</w:t>
      </w:r>
      <w:r w:rsidRPr="00BD4D79">
        <w:rPr>
          <w:rtl/>
        </w:rPr>
        <w:t xml:space="preserve"> </w:t>
      </w:r>
      <w:r w:rsidRPr="00BD4D79">
        <w:rPr>
          <w:rFonts w:hint="eastAsia"/>
          <w:rtl/>
        </w:rPr>
        <w:t>הכנסת</w:t>
      </w:r>
      <w:r w:rsidRPr="00BD4D79">
        <w:rPr>
          <w:rtl/>
        </w:rPr>
        <w:t xml:space="preserve"> </w:t>
      </w:r>
      <w:r w:rsidRPr="00BD4D79">
        <w:rPr>
          <w:rFonts w:hint="eastAsia"/>
          <w:rtl/>
        </w:rPr>
        <w:t>העשרים</w:t>
      </w:r>
      <w:r w:rsidRPr="00BD4D79">
        <w:rPr>
          <w:rtl/>
        </w:rPr>
        <w:t xml:space="preserve"> </w:t>
      </w:r>
      <w:r w:rsidRPr="00BD4D79">
        <w:rPr>
          <w:rFonts w:hint="eastAsia"/>
          <w:rtl/>
        </w:rPr>
        <w:t>על</w:t>
      </w:r>
      <w:r w:rsidRPr="00BD4D79">
        <w:rPr>
          <w:rtl/>
        </w:rPr>
        <w:t xml:space="preserve"> </w:t>
      </w:r>
      <w:r w:rsidRPr="00BD4D79">
        <w:rPr>
          <w:rFonts w:hint="eastAsia"/>
          <w:rtl/>
        </w:rPr>
        <w:t>ידי</w:t>
      </w:r>
      <w:r w:rsidRPr="00BD4D79">
        <w:rPr>
          <w:rtl/>
        </w:rPr>
        <w:t xml:space="preserve"> </w:t>
      </w:r>
      <w:r w:rsidRPr="00BD4D79">
        <w:rPr>
          <w:rFonts w:hint="eastAsia"/>
          <w:rtl/>
        </w:rPr>
        <w:t>חבר</w:t>
      </w:r>
      <w:r w:rsidRPr="00BD4D79">
        <w:rPr>
          <w:rtl/>
        </w:rPr>
        <w:t xml:space="preserve"> </w:t>
      </w:r>
      <w:r w:rsidRPr="00BD4D79">
        <w:rPr>
          <w:rFonts w:hint="eastAsia"/>
          <w:rtl/>
        </w:rPr>
        <w:t>הכנסת</w:t>
      </w:r>
      <w:r w:rsidRPr="00BD4D79">
        <w:rPr>
          <w:rtl/>
        </w:rPr>
        <w:t xml:space="preserve"> </w:t>
      </w:r>
      <w:r w:rsidRPr="00BD4D79">
        <w:rPr>
          <w:rFonts w:hint="eastAsia"/>
          <w:rtl/>
        </w:rPr>
        <w:t>אמיר</w:t>
      </w:r>
      <w:r w:rsidRPr="00BD4D79">
        <w:rPr>
          <w:rtl/>
        </w:rPr>
        <w:t xml:space="preserve"> </w:t>
      </w:r>
      <w:r w:rsidRPr="00BD4D79">
        <w:rPr>
          <w:rFonts w:hint="eastAsia"/>
          <w:rtl/>
        </w:rPr>
        <w:t>אוחנה</w:t>
      </w:r>
      <w:r w:rsidRPr="00BD4D79">
        <w:rPr>
          <w:rtl/>
        </w:rPr>
        <w:t xml:space="preserve"> </w:t>
      </w:r>
      <w:r w:rsidRPr="00BD4D79">
        <w:rPr>
          <w:rFonts w:hint="eastAsia"/>
          <w:rtl/>
        </w:rPr>
        <w:t>וקבוצת</w:t>
      </w:r>
      <w:r w:rsidRPr="00BD4D79">
        <w:rPr>
          <w:rtl/>
        </w:rPr>
        <w:t xml:space="preserve"> </w:t>
      </w:r>
      <w:r w:rsidRPr="00BD4D79">
        <w:rPr>
          <w:rFonts w:hint="eastAsia"/>
          <w:rtl/>
        </w:rPr>
        <w:t>חברי</w:t>
      </w:r>
      <w:r w:rsidRPr="00BD4D79">
        <w:rPr>
          <w:rtl/>
        </w:rPr>
        <w:t xml:space="preserve"> </w:t>
      </w:r>
      <w:r w:rsidRPr="00BD4D79">
        <w:rPr>
          <w:rFonts w:hint="eastAsia"/>
          <w:rtl/>
        </w:rPr>
        <w:t>הכנסת</w:t>
      </w:r>
      <w:r w:rsidRPr="00BD4D79">
        <w:rPr>
          <w:rtl/>
        </w:rPr>
        <w:t xml:space="preserve"> (פ/5411/20)</w:t>
      </w:r>
      <w:r w:rsidR="00771508">
        <w:rPr>
          <w:rFonts w:hint="cs"/>
          <w:rtl/>
        </w:rPr>
        <w:t xml:space="preserve"> ו</w:t>
      </w:r>
      <w:r w:rsidRPr="00BD4D79">
        <w:rPr>
          <w:rFonts w:hint="eastAsia"/>
          <w:rtl/>
        </w:rPr>
        <w:t>על</w:t>
      </w:r>
      <w:r w:rsidRPr="00BD4D79">
        <w:rPr>
          <w:rtl/>
        </w:rPr>
        <w:t xml:space="preserve"> </w:t>
      </w:r>
      <w:r w:rsidRPr="00BD4D79">
        <w:rPr>
          <w:rFonts w:hint="eastAsia"/>
          <w:rtl/>
        </w:rPr>
        <w:t>ידי</w:t>
      </w:r>
      <w:r w:rsidRPr="00BD4D79">
        <w:rPr>
          <w:rtl/>
        </w:rPr>
        <w:t xml:space="preserve"> </w:t>
      </w:r>
      <w:r w:rsidRPr="00BD4D79">
        <w:rPr>
          <w:rFonts w:hint="eastAsia"/>
          <w:rtl/>
        </w:rPr>
        <w:t>חבר</w:t>
      </w:r>
      <w:r w:rsidRPr="00BD4D79">
        <w:rPr>
          <w:rtl/>
        </w:rPr>
        <w:t xml:space="preserve"> </w:t>
      </w:r>
      <w:r w:rsidRPr="00BD4D79">
        <w:rPr>
          <w:rFonts w:hint="eastAsia"/>
          <w:rtl/>
        </w:rPr>
        <w:t>הכנסת</w:t>
      </w:r>
      <w:r w:rsidRPr="00BD4D79">
        <w:rPr>
          <w:rtl/>
        </w:rPr>
        <w:t xml:space="preserve"> </w:t>
      </w:r>
      <w:r w:rsidRPr="00BD4D79">
        <w:rPr>
          <w:rFonts w:hint="eastAsia"/>
          <w:rtl/>
        </w:rPr>
        <w:t>איציק</w:t>
      </w:r>
      <w:r w:rsidRPr="00BD4D79">
        <w:rPr>
          <w:rtl/>
        </w:rPr>
        <w:t xml:space="preserve"> </w:t>
      </w:r>
      <w:r w:rsidRPr="00BD4D79">
        <w:rPr>
          <w:rFonts w:hint="eastAsia"/>
          <w:rtl/>
        </w:rPr>
        <w:t>שמולי</w:t>
      </w:r>
      <w:r w:rsidRPr="00BD4D79">
        <w:rPr>
          <w:rtl/>
        </w:rPr>
        <w:t xml:space="preserve"> </w:t>
      </w:r>
      <w:r w:rsidRPr="00BD4D79">
        <w:rPr>
          <w:rFonts w:hint="eastAsia"/>
          <w:rtl/>
        </w:rPr>
        <w:t>וקבוצת</w:t>
      </w:r>
      <w:r w:rsidRPr="00BD4D79">
        <w:rPr>
          <w:rtl/>
        </w:rPr>
        <w:t xml:space="preserve"> </w:t>
      </w:r>
      <w:r w:rsidRPr="00BD4D79">
        <w:rPr>
          <w:rFonts w:hint="eastAsia"/>
          <w:rtl/>
        </w:rPr>
        <w:t>חברי</w:t>
      </w:r>
      <w:r w:rsidRPr="00BD4D79">
        <w:rPr>
          <w:rtl/>
        </w:rPr>
        <w:t xml:space="preserve"> </w:t>
      </w:r>
      <w:r w:rsidRPr="00BD4D79">
        <w:rPr>
          <w:rFonts w:hint="eastAsia"/>
          <w:rtl/>
        </w:rPr>
        <w:t>הכנסת</w:t>
      </w:r>
      <w:r w:rsidRPr="00BD4D79">
        <w:rPr>
          <w:rtl/>
        </w:rPr>
        <w:t xml:space="preserve"> (פ/5412/20)</w:t>
      </w:r>
      <w:r w:rsidR="00771508">
        <w:rPr>
          <w:rFonts w:hint="cs"/>
          <w:rtl/>
        </w:rPr>
        <w:t>,</w:t>
      </w:r>
      <w:r w:rsidRPr="00BD4D79">
        <w:rPr>
          <w:rtl/>
        </w:rPr>
        <w:t xml:space="preserve"> ועל שולחן הכנסת העשרים ושתיים על ידי חבר הכנסת איציק שמולי (פ/165/22)</w:t>
      </w:r>
      <w:r w:rsidR="00BD4D79">
        <w:rPr>
          <w:rFonts w:hint="cs"/>
          <w:rtl/>
        </w:rPr>
        <w:t>.</w:t>
      </w:r>
    </w:p>
    <w:p w14:paraId="07226652" w14:textId="77777777" w:rsidR="00E73A89" w:rsidRDefault="00E73A89" w:rsidP="008E50B4">
      <w:pPr>
        <w:pStyle w:val="Hesber"/>
        <w:rPr>
          <w:rtl/>
        </w:rPr>
      </w:pPr>
    </w:p>
    <w:p w14:paraId="38675508" w14:textId="77777777" w:rsidR="00E73A89" w:rsidRDefault="00E73A89" w:rsidP="008E50B4">
      <w:pPr>
        <w:pStyle w:val="Hesber"/>
        <w:rPr>
          <w:rtl/>
        </w:rPr>
      </w:pPr>
      <w:bookmarkStart w:id="8" w:name="_GoBack"/>
      <w:bookmarkEnd w:id="8"/>
    </w:p>
    <w:p w14:paraId="23022C25" w14:textId="77777777" w:rsidR="00E73A89" w:rsidRDefault="00E73A89" w:rsidP="00E73A89">
      <w:pPr>
        <w:pStyle w:val="Hesber"/>
        <w:rPr>
          <w:rtl/>
        </w:rPr>
      </w:pPr>
      <w:r>
        <w:rPr>
          <w:rtl/>
        </w:rPr>
        <w:t>---------------------------------</w:t>
      </w:r>
    </w:p>
    <w:p w14:paraId="25645C7D" w14:textId="77777777" w:rsidR="00E73A89" w:rsidRDefault="00E73A89" w:rsidP="00E73A89">
      <w:pPr>
        <w:pStyle w:val="Hesber"/>
        <w:rPr>
          <w:rtl/>
        </w:rPr>
      </w:pPr>
      <w:r>
        <w:rPr>
          <w:rtl/>
        </w:rPr>
        <w:t>הוגשה ליו"ר הכנסת והסגנים</w:t>
      </w:r>
    </w:p>
    <w:p w14:paraId="163CE11C" w14:textId="77777777" w:rsidR="00E73A89" w:rsidRDefault="00E73A89" w:rsidP="00E73A89">
      <w:pPr>
        <w:pStyle w:val="Hesber"/>
        <w:rPr>
          <w:rtl/>
        </w:rPr>
      </w:pPr>
      <w:r>
        <w:rPr>
          <w:rtl/>
        </w:rPr>
        <w:t>והונחה על שולחן הכנסת ביום</w:t>
      </w:r>
    </w:p>
    <w:p w14:paraId="4DBC1A8D" w14:textId="38949D67" w:rsidR="00E73A89" w:rsidRPr="00BD4D79" w:rsidRDefault="00E73A89" w:rsidP="00E73A89">
      <w:pPr>
        <w:pStyle w:val="Hesber"/>
        <w:rPr>
          <w:rtl/>
        </w:rPr>
      </w:pPr>
      <w:r>
        <w:rPr>
          <w:rtl/>
        </w:rPr>
        <w:t xml:space="preserve">י"ז באייר התש"ף - 11.5.20  </w:t>
      </w:r>
    </w:p>
    <w:p w14:paraId="2AABFCCD" w14:textId="77777777" w:rsidR="0083072C" w:rsidRPr="008E50B4" w:rsidRDefault="0083072C" w:rsidP="008E50B4">
      <w:pPr>
        <w:pStyle w:val="Hesber"/>
        <w:rPr>
          <w:highlight w:val="yellow"/>
          <w:rtl/>
        </w:rPr>
      </w:pPr>
    </w:p>
    <w:p w14:paraId="7F6961CB" w14:textId="1921259A" w:rsidR="00E13C27" w:rsidRPr="00BD4D79" w:rsidRDefault="00E13C27" w:rsidP="008E50B4">
      <w:pPr>
        <w:pStyle w:val="Hesber"/>
        <w:rPr>
          <w:rtl/>
        </w:rPr>
      </w:pPr>
    </w:p>
    <w:sectPr w:rsidR="00E13C27" w:rsidRPr="00BD4D79" w:rsidSect="008E50B4">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73A89">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95087"/>
    <w:rsid w:val="002A487D"/>
    <w:rsid w:val="002A6E20"/>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71508"/>
    <w:rsid w:val="0078664F"/>
    <w:rsid w:val="007A27CE"/>
    <w:rsid w:val="007C3FA6"/>
    <w:rsid w:val="007D585A"/>
    <w:rsid w:val="007D5A12"/>
    <w:rsid w:val="007E59F9"/>
    <w:rsid w:val="00810BCD"/>
    <w:rsid w:val="00812C98"/>
    <w:rsid w:val="00814D92"/>
    <w:rsid w:val="0083072C"/>
    <w:rsid w:val="0083181D"/>
    <w:rsid w:val="00843EB2"/>
    <w:rsid w:val="00865572"/>
    <w:rsid w:val="00874BBC"/>
    <w:rsid w:val="00892135"/>
    <w:rsid w:val="00895449"/>
    <w:rsid w:val="00897879"/>
    <w:rsid w:val="008A6870"/>
    <w:rsid w:val="008C2DDC"/>
    <w:rsid w:val="008C7516"/>
    <w:rsid w:val="008E50B4"/>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D4D79"/>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73A8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4AF6ADC-C055-40F2-A257-4F277E31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79"/>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BD4D79"/>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BD4D79"/>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BD4D79"/>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BD4D79"/>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BD4D79"/>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D4D7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BD4D79"/>
    <w:rPr>
      <w:sz w:val="36"/>
      <w:szCs w:val="52"/>
    </w:rPr>
  </w:style>
  <w:style w:type="paragraph" w:customStyle="1" w:styleId="Cover3-Haknesset">
    <w:name w:val="Cover 3-Haknesset"/>
    <w:basedOn w:val="Cover1-Reshumot"/>
    <w:rsid w:val="00BD4D79"/>
    <w:rPr>
      <w:b/>
      <w:bCs/>
      <w:spacing w:val="60"/>
    </w:rPr>
  </w:style>
  <w:style w:type="paragraph" w:customStyle="1" w:styleId="Cover4-Date">
    <w:name w:val="Cover 4-Date"/>
    <w:basedOn w:val="a"/>
    <w:rsid w:val="00BD4D7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D4D79"/>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BD4D79"/>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BD4D79"/>
    <w:pPr>
      <w:spacing w:before="120" w:after="120"/>
    </w:pPr>
    <w:rPr>
      <w:color w:val="FF0000"/>
      <w:w w:val="80"/>
    </w:rPr>
  </w:style>
  <w:style w:type="paragraph" w:styleId="a3">
    <w:name w:val="endnote text"/>
    <w:basedOn w:val="a"/>
    <w:semiHidden/>
    <w:rsid w:val="00BD4D79"/>
    <w:pPr>
      <w:ind w:left="227" w:hanging="227"/>
    </w:pPr>
    <w:rPr>
      <w:sz w:val="14"/>
      <w:szCs w:val="22"/>
    </w:rPr>
  </w:style>
  <w:style w:type="paragraph" w:customStyle="1" w:styleId="TableText">
    <w:name w:val="Table Text"/>
    <w:basedOn w:val="a"/>
    <w:rsid w:val="00BD4D79"/>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BD4D79"/>
    <w:pPr>
      <w:outlineLvl w:val="2"/>
    </w:pPr>
  </w:style>
  <w:style w:type="paragraph" w:customStyle="1" w:styleId="TableBlock">
    <w:name w:val="Table Block"/>
    <w:basedOn w:val="TableText"/>
    <w:rsid w:val="00BD4D79"/>
    <w:pPr>
      <w:jc w:val="both"/>
    </w:pPr>
  </w:style>
  <w:style w:type="paragraph" w:customStyle="1" w:styleId="TableHead">
    <w:name w:val="Table Head"/>
    <w:basedOn w:val="TableText"/>
    <w:rsid w:val="00BD4D79"/>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D4D79"/>
    <w:pPr>
      <w:outlineLvl w:val="9"/>
    </w:pPr>
  </w:style>
  <w:style w:type="paragraph" w:customStyle="1" w:styleId="Hesber">
    <w:name w:val="Hesber"/>
    <w:basedOn w:val="a"/>
    <w:rsid w:val="00BD4D79"/>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BD4D79"/>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BD4D79"/>
    <w:rPr>
      <w:vertAlign w:val="superscript"/>
    </w:rPr>
  </w:style>
  <w:style w:type="paragraph" w:customStyle="1" w:styleId="HesberHeading">
    <w:name w:val="Hesber Heading"/>
    <w:basedOn w:val="Hesber"/>
    <w:rsid w:val="00BD4D79"/>
    <w:pPr>
      <w:tabs>
        <w:tab w:val="left" w:pos="624"/>
        <w:tab w:val="left" w:pos="1247"/>
      </w:tabs>
    </w:pPr>
    <w:rPr>
      <w:b/>
      <w:bCs/>
    </w:rPr>
  </w:style>
  <w:style w:type="paragraph" w:customStyle="1" w:styleId="HesberWriters">
    <w:name w:val="Hesber Writers"/>
    <w:basedOn w:val="Hesber"/>
    <w:rsid w:val="00BD4D79"/>
    <w:pPr>
      <w:spacing w:before="120" w:after="120"/>
      <w:ind w:left="1418"/>
      <w:jc w:val="right"/>
    </w:pPr>
    <w:rPr>
      <w:b/>
      <w:bCs/>
    </w:rPr>
  </w:style>
  <w:style w:type="paragraph" w:customStyle="1" w:styleId="Hesber1st">
    <w:name w:val="Hesber 1st"/>
    <w:basedOn w:val="Hesber"/>
    <w:rsid w:val="00BD4D79"/>
    <w:pPr>
      <w:tabs>
        <w:tab w:val="left" w:pos="680"/>
        <w:tab w:val="left" w:pos="1020"/>
      </w:tabs>
      <w:ind w:firstLine="0"/>
    </w:pPr>
  </w:style>
  <w:style w:type="character" w:styleId="a6">
    <w:name w:val="endnote reference"/>
    <w:basedOn w:val="a0"/>
    <w:semiHidden/>
    <w:rsid w:val="00BD4D79"/>
    <w:rPr>
      <w:vertAlign w:val="superscript"/>
    </w:rPr>
  </w:style>
  <w:style w:type="paragraph" w:customStyle="1" w:styleId="TableBlockOutdent">
    <w:name w:val="Table BlockOutdent"/>
    <w:basedOn w:val="TableBlock"/>
    <w:rsid w:val="00BD4D79"/>
    <w:pPr>
      <w:ind w:left="624" w:hanging="624"/>
    </w:pPr>
  </w:style>
  <w:style w:type="paragraph" w:styleId="a7">
    <w:name w:val="header"/>
    <w:basedOn w:val="a"/>
    <w:rsid w:val="00BD4D79"/>
    <w:pPr>
      <w:tabs>
        <w:tab w:val="center" w:pos="4153"/>
        <w:tab w:val="right" w:pos="8306"/>
      </w:tabs>
    </w:pPr>
  </w:style>
  <w:style w:type="paragraph" w:styleId="a8">
    <w:name w:val="footer"/>
    <w:basedOn w:val="a"/>
    <w:rsid w:val="00BD4D79"/>
    <w:pPr>
      <w:tabs>
        <w:tab w:val="center" w:pos="4153"/>
        <w:tab w:val="right" w:pos="8306"/>
      </w:tabs>
    </w:pPr>
  </w:style>
  <w:style w:type="paragraph" w:customStyle="1" w:styleId="HeadDivreiHesber">
    <w:name w:val="Head DivreiHesber"/>
    <w:basedOn w:val="a"/>
    <w:rsid w:val="00BD4D79"/>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BD4D79"/>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BD4D79"/>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BD4D79"/>
    <w:rPr>
      <w:rFonts w:asciiTheme="majorHAnsi" w:eastAsiaTheme="majorEastAsia" w:hAnsiTheme="majorHAnsi" w:cs="David"/>
      <w:bCs/>
      <w:sz w:val="32"/>
      <w:szCs w:val="36"/>
    </w:rPr>
  </w:style>
  <w:style w:type="character" w:customStyle="1" w:styleId="20">
    <w:name w:val="כותרת 2 תו"/>
    <w:basedOn w:val="a0"/>
    <w:link w:val="2"/>
    <w:rsid w:val="00BD4D79"/>
    <w:rPr>
      <w:rFonts w:asciiTheme="majorHAnsi" w:eastAsiaTheme="majorEastAsia" w:hAnsiTheme="majorHAnsi" w:cs="David"/>
      <w:bCs/>
      <w:sz w:val="26"/>
      <w:szCs w:val="36"/>
      <w:u w:val="single"/>
    </w:rPr>
  </w:style>
  <w:style w:type="character" w:customStyle="1" w:styleId="30">
    <w:name w:val="כותרת 3 תו"/>
    <w:basedOn w:val="a0"/>
    <w:link w:val="3"/>
    <w:rsid w:val="00BD4D79"/>
    <w:rPr>
      <w:rFonts w:asciiTheme="majorHAnsi" w:eastAsiaTheme="majorEastAsia" w:hAnsiTheme="majorHAnsi" w:cs="David"/>
      <w:sz w:val="24"/>
      <w:szCs w:val="28"/>
      <w:u w:val="double"/>
    </w:rPr>
  </w:style>
  <w:style w:type="character" w:customStyle="1" w:styleId="40">
    <w:name w:val="כותרת 4 תו"/>
    <w:basedOn w:val="a0"/>
    <w:link w:val="4"/>
    <w:uiPriority w:val="9"/>
    <w:rsid w:val="00BD4D79"/>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BD4D79"/>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BD4D79"/>
    <w:pPr>
      <w:widowControl/>
      <w:spacing w:before="120" w:after="120"/>
      <w:outlineLvl w:val="9"/>
    </w:pPr>
    <w:rPr>
      <w:rtl/>
      <w:cs/>
    </w:rPr>
  </w:style>
  <w:style w:type="paragraph" w:styleId="TOC1">
    <w:name w:val="toc 1"/>
    <w:basedOn w:val="a"/>
    <w:next w:val="a"/>
    <w:autoRedefine/>
    <w:uiPriority w:val="39"/>
    <w:unhideWhenUsed/>
    <w:rsid w:val="00BD4D79"/>
    <w:pPr>
      <w:tabs>
        <w:tab w:val="right" w:leader="dot" w:pos="9629"/>
      </w:tabs>
      <w:spacing w:after="100"/>
    </w:pPr>
    <w:rPr>
      <w:bCs/>
      <w:szCs w:val="22"/>
    </w:rPr>
  </w:style>
  <w:style w:type="paragraph" w:styleId="TOC2">
    <w:name w:val="toc 2"/>
    <w:basedOn w:val="a"/>
    <w:next w:val="a"/>
    <w:uiPriority w:val="39"/>
    <w:unhideWhenUsed/>
    <w:rsid w:val="00BD4D79"/>
    <w:pPr>
      <w:tabs>
        <w:tab w:val="right" w:leader="dot" w:pos="9628"/>
      </w:tabs>
      <w:spacing w:after="100"/>
    </w:pPr>
    <w:rPr>
      <w:szCs w:val="22"/>
    </w:rPr>
  </w:style>
  <w:style w:type="character" w:styleId="Hyperlink">
    <w:name w:val="Hyperlink"/>
    <w:basedOn w:val="a0"/>
    <w:uiPriority w:val="99"/>
    <w:unhideWhenUsed/>
    <w:rsid w:val="00BD4D79"/>
    <w:rPr>
      <w:color w:val="0000FF" w:themeColor="hyperlink"/>
      <w:u w:val="single"/>
    </w:rPr>
  </w:style>
  <w:style w:type="paragraph" w:styleId="TOC3">
    <w:name w:val="toc 3"/>
    <w:basedOn w:val="a"/>
    <w:next w:val="a"/>
    <w:uiPriority w:val="39"/>
    <w:unhideWhenUsed/>
    <w:rsid w:val="00BD4D79"/>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BD4D7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BD4D79"/>
    <w:pPr>
      <w:tabs>
        <w:tab w:val="right" w:leader="dot" w:pos="9628"/>
      </w:tabs>
      <w:spacing w:after="100"/>
      <w:ind w:left="567"/>
    </w:pPr>
    <w:rPr>
      <w:szCs w:val="22"/>
    </w:rPr>
  </w:style>
  <w:style w:type="paragraph" w:styleId="TOC6">
    <w:name w:val="toc 6"/>
    <w:basedOn w:val="a"/>
    <w:next w:val="a"/>
    <w:autoRedefine/>
    <w:semiHidden/>
    <w:unhideWhenUsed/>
    <w:rsid w:val="00BD4D79"/>
    <w:pPr>
      <w:spacing w:after="100"/>
      <w:ind w:left="850"/>
    </w:pPr>
  </w:style>
  <w:style w:type="paragraph" w:styleId="TOC7">
    <w:name w:val="toc 7"/>
    <w:basedOn w:val="a"/>
    <w:next w:val="a"/>
    <w:autoRedefine/>
    <w:semiHidden/>
    <w:unhideWhenUsed/>
    <w:rsid w:val="00BD4D79"/>
    <w:pPr>
      <w:spacing w:after="100"/>
      <w:ind w:left="1020"/>
    </w:pPr>
  </w:style>
  <w:style w:type="paragraph" w:styleId="TOC8">
    <w:name w:val="toc 8"/>
    <w:basedOn w:val="a"/>
    <w:next w:val="a"/>
    <w:autoRedefine/>
    <w:semiHidden/>
    <w:unhideWhenUsed/>
    <w:rsid w:val="00BD4D79"/>
    <w:pPr>
      <w:spacing w:after="100"/>
      <w:ind w:left="1190"/>
    </w:pPr>
  </w:style>
  <w:style w:type="paragraph" w:styleId="TOC9">
    <w:name w:val="toc 9"/>
    <w:basedOn w:val="a"/>
    <w:next w:val="a"/>
    <w:autoRedefine/>
    <w:semiHidden/>
    <w:unhideWhenUsed/>
    <w:rsid w:val="00BD4D79"/>
    <w:pPr>
      <w:spacing w:after="100"/>
      <w:ind w:left="1360"/>
    </w:pPr>
  </w:style>
  <w:style w:type="paragraph" w:customStyle="1" w:styleId="TableHead2">
    <w:name w:val="Table Head2"/>
    <w:basedOn w:val="TableHead"/>
    <w:qFormat/>
    <w:rsid w:val="00BD4D79"/>
    <w:pPr>
      <w:outlineLvl w:val="9"/>
    </w:pPr>
  </w:style>
  <w:style w:type="paragraph" w:customStyle="1" w:styleId="TableSideHeading2">
    <w:name w:val="Table SideHeading2"/>
    <w:basedOn w:val="TableSideHeading"/>
    <w:autoRedefine/>
    <w:qFormat/>
    <w:rsid w:val="00BD4D79"/>
    <w:pPr>
      <w:keepLines w:val="0"/>
      <w:outlineLvl w:val="9"/>
    </w:pPr>
  </w:style>
  <w:style w:type="paragraph" w:customStyle="1" w:styleId="0">
    <w:name w:val="סגנון שורה ראשונה:  0  ס''מ"/>
    <w:basedOn w:val="2"/>
    <w:rsid w:val="00BD4D79"/>
    <w:rPr>
      <w:rFonts w:eastAsia="Times New Roman"/>
    </w:rPr>
  </w:style>
  <w:style w:type="paragraph" w:styleId="ae">
    <w:name w:val="List Paragraph"/>
    <w:basedOn w:val="a"/>
    <w:uiPriority w:val="34"/>
    <w:qFormat/>
    <w:rsid w:val="00BD4D79"/>
    <w:pPr>
      <w:widowControl/>
      <w:spacing w:line="259" w:lineRule="auto"/>
    </w:pPr>
    <w:rPr>
      <w:rFonts w:asciiTheme="minorHAnsi" w:hAnsiTheme="minorHAnsi"/>
      <w:sz w:val="22"/>
    </w:rPr>
  </w:style>
  <w:style w:type="table" w:styleId="af">
    <w:name w:val="Table Grid"/>
    <w:basedOn w:val="a1"/>
    <w:rsid w:val="00BD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BD4D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BD4D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BD4D79"/>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BD4D79"/>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3B6A526-E5E2-4C9E-A0BC-4EA614B11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484129-0FFB-42B4-B119-29C0C2C4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366</Words>
  <Characters>2088</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cp:revision>
  <cp:lastPrinted>2020-05-05T11:28:00Z</cp:lastPrinted>
  <dcterms:created xsi:type="dcterms:W3CDTF">2015-04-20T09:58:00Z</dcterms:created>
  <dcterms:modified xsi:type="dcterms:W3CDTF">2020-05-05T11:28:00Z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2086739</vt:r8>
  </property>
</Properties>
</file>