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2086452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פ/666/23</w:t>
      </w:r>
      <w:bookmarkEnd w:id="6"/>
    </w:p>
    <w:p w14:paraId="7F6961AD" w14:textId="6E3FAE7E" w:rsidR="00E13C27" w:rsidRPr="00F67051" w:rsidRDefault="00A443CF" w:rsidP="00F63062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האזרחים הוותיקים (תיקון </w:t>
      </w:r>
      <w:r w:rsidR="00F63062">
        <w:rPr>
          <w:rFonts w:hint="eastAsia"/>
          <w:rtl/>
        </w:rPr>
        <w:t>–</w:t>
      </w:r>
      <w:r>
        <w:rPr>
          <w:rFonts w:hint="cs"/>
          <w:rtl/>
        </w:rPr>
        <w:t xml:space="preserve"> סבסוד מלא של נסיעות בתחבורה ציבורית לניצולי שואה ולאסירי ציון), התש"ף</w:t>
      </w:r>
      <w:r w:rsidR="00F63062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36391B" w14:paraId="752A60BD" w14:textId="77777777" w:rsidTr="0011118E">
        <w:trPr>
          <w:cantSplit/>
          <w:trHeight w:val="60"/>
        </w:trPr>
        <w:tc>
          <w:tcPr>
            <w:tcW w:w="1871" w:type="dxa"/>
            <w:hideMark/>
          </w:tcPr>
          <w:p w14:paraId="60E64D6E" w14:textId="77777777" w:rsidR="0036391B" w:rsidRDefault="0036391B" w:rsidP="0011118E">
            <w:pPr>
              <w:pStyle w:val="TableSideHeading"/>
              <w:keepLines w:val="0"/>
            </w:pPr>
            <w:r>
              <w:rPr>
                <w:rtl/>
              </w:rPr>
              <w:t xml:space="preserve">תיקון סעיף 10 </w:t>
            </w:r>
          </w:p>
        </w:tc>
        <w:tc>
          <w:tcPr>
            <w:tcW w:w="624" w:type="dxa"/>
            <w:hideMark/>
          </w:tcPr>
          <w:p w14:paraId="7E355457" w14:textId="77777777" w:rsidR="0036391B" w:rsidRDefault="0036391B" w:rsidP="0011118E">
            <w:pPr>
              <w:pStyle w:val="TableText"/>
              <w:keepLines w:val="0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7146" w:type="dxa"/>
            <w:gridSpan w:val="2"/>
            <w:hideMark/>
          </w:tcPr>
          <w:p w14:paraId="5EF19693" w14:textId="77777777" w:rsidR="0036391B" w:rsidRDefault="0036391B" w:rsidP="0011118E">
            <w:pPr>
              <w:pStyle w:val="TableBlock"/>
              <w:rPr>
                <w:rtl/>
              </w:rPr>
            </w:pPr>
            <w:r>
              <w:rPr>
                <w:rtl/>
              </w:rPr>
              <w:t>בחוק האזרחים הוותיקים, התש"ן–1989</w:t>
            </w:r>
            <w:r>
              <w:rPr>
                <w:rStyle w:val="a6"/>
                <w:rtl/>
              </w:rPr>
              <w:footnoteReference w:id="2"/>
            </w:r>
            <w:r>
              <w:rPr>
                <w:rtl/>
              </w:rPr>
              <w:t>, בסעיף 10, אחרי סעיף קטן (א) יבוא:</w:t>
            </w:r>
          </w:p>
        </w:tc>
      </w:tr>
      <w:tr w:rsidR="0036391B" w14:paraId="0C1E896D" w14:textId="77777777" w:rsidTr="0011118E">
        <w:trPr>
          <w:cantSplit/>
          <w:trHeight w:val="60"/>
        </w:trPr>
        <w:tc>
          <w:tcPr>
            <w:tcW w:w="1871" w:type="dxa"/>
          </w:tcPr>
          <w:p w14:paraId="75CE1C9B" w14:textId="77777777" w:rsidR="0036391B" w:rsidRDefault="0036391B" w:rsidP="0011118E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7F2C6083" w14:textId="77777777" w:rsidR="0036391B" w:rsidRDefault="0036391B" w:rsidP="0011118E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2"/>
            <w:hideMark/>
          </w:tcPr>
          <w:p w14:paraId="647F8BAE" w14:textId="77777777" w:rsidR="0036391B" w:rsidRDefault="0036391B" w:rsidP="0011118E">
            <w:pPr>
              <w:pStyle w:val="TableBlock"/>
              <w:rPr>
                <w:rtl/>
              </w:rPr>
            </w:pPr>
            <w:r>
              <w:rPr>
                <w:rtl/>
              </w:rPr>
              <w:t>"(ב)</w:t>
            </w:r>
            <w:r>
              <w:rPr>
                <w:rtl/>
              </w:rPr>
              <w:tab/>
              <w:t>על אף הוראות סעיף קטן (א), אזרח ותיק שמשתלמת לו קצבה לפי חוק מהחוקים המפורטים להלן, זכאי להנחה בשיעור של 100% מדמי הנסיעה בתחבורה הציבורית, העירונית והבין-עירונית, על כל סוגי הכרטיסים:</w:t>
            </w:r>
          </w:p>
        </w:tc>
      </w:tr>
      <w:tr w:rsidR="0036391B" w14:paraId="074BFC5E" w14:textId="77777777" w:rsidTr="0011118E">
        <w:trPr>
          <w:cantSplit/>
          <w:trHeight w:val="60"/>
        </w:trPr>
        <w:tc>
          <w:tcPr>
            <w:tcW w:w="1871" w:type="dxa"/>
          </w:tcPr>
          <w:p w14:paraId="0A8ACDB4" w14:textId="77777777" w:rsidR="0036391B" w:rsidRDefault="0036391B" w:rsidP="0011118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A022139" w14:textId="77777777" w:rsidR="0036391B" w:rsidRDefault="0036391B" w:rsidP="0011118E">
            <w:pPr>
              <w:pStyle w:val="TableText"/>
            </w:pPr>
          </w:p>
        </w:tc>
        <w:tc>
          <w:tcPr>
            <w:tcW w:w="624" w:type="dxa"/>
          </w:tcPr>
          <w:p w14:paraId="0EC14F58" w14:textId="77777777" w:rsidR="0036391B" w:rsidRDefault="0036391B" w:rsidP="0011118E">
            <w:pPr>
              <w:pStyle w:val="TableText"/>
            </w:pPr>
          </w:p>
        </w:tc>
        <w:tc>
          <w:tcPr>
            <w:tcW w:w="6522" w:type="dxa"/>
            <w:hideMark/>
          </w:tcPr>
          <w:p w14:paraId="290D88F6" w14:textId="77777777" w:rsidR="0036391B" w:rsidRDefault="0036391B" w:rsidP="0011118E">
            <w:pPr>
              <w:pStyle w:val="TableBlock"/>
            </w:pPr>
            <w:r>
              <w:rPr>
                <w:rtl/>
              </w:rPr>
              <w:t>(1)</w:t>
            </w:r>
            <w:r>
              <w:rPr>
                <w:rtl/>
              </w:rPr>
              <w:tab/>
              <w:t>חוק נכי רדיפות הנאצים, התשי"ז–1957</w:t>
            </w:r>
            <w:r>
              <w:rPr>
                <w:rStyle w:val="a6"/>
                <w:rtl/>
              </w:rPr>
              <w:footnoteReference w:id="3"/>
            </w:r>
            <w:r>
              <w:rPr>
                <w:rtl/>
              </w:rPr>
              <w:t>;</w:t>
            </w:r>
          </w:p>
        </w:tc>
      </w:tr>
      <w:tr w:rsidR="0036391B" w14:paraId="2F063D94" w14:textId="77777777" w:rsidTr="0011118E">
        <w:trPr>
          <w:cantSplit/>
          <w:trHeight w:val="60"/>
        </w:trPr>
        <w:tc>
          <w:tcPr>
            <w:tcW w:w="1871" w:type="dxa"/>
          </w:tcPr>
          <w:p w14:paraId="091D6211" w14:textId="77777777" w:rsidR="0036391B" w:rsidRDefault="0036391B" w:rsidP="0011118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747D754" w14:textId="77777777" w:rsidR="0036391B" w:rsidRDefault="0036391B" w:rsidP="0011118E">
            <w:pPr>
              <w:pStyle w:val="TableText"/>
              <w:rPr>
                <w:rtl/>
              </w:rPr>
            </w:pPr>
          </w:p>
        </w:tc>
        <w:tc>
          <w:tcPr>
            <w:tcW w:w="624" w:type="dxa"/>
          </w:tcPr>
          <w:p w14:paraId="2A1C915A" w14:textId="77777777" w:rsidR="0036391B" w:rsidRDefault="0036391B" w:rsidP="0011118E">
            <w:pPr>
              <w:pStyle w:val="TableText"/>
            </w:pPr>
          </w:p>
        </w:tc>
        <w:tc>
          <w:tcPr>
            <w:tcW w:w="6522" w:type="dxa"/>
            <w:hideMark/>
          </w:tcPr>
          <w:p w14:paraId="2500E963" w14:textId="77777777" w:rsidR="0036391B" w:rsidRDefault="0036391B" w:rsidP="0011118E">
            <w:pPr>
              <w:pStyle w:val="TableBlock"/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  <w:t>חוק הטבות לניצולי שואה, התשס"ז–2007</w:t>
            </w:r>
            <w:r>
              <w:rPr>
                <w:rStyle w:val="a6"/>
                <w:rtl/>
              </w:rPr>
              <w:footnoteReference w:id="4"/>
            </w:r>
            <w:r>
              <w:rPr>
                <w:rtl/>
              </w:rPr>
              <w:t>;</w:t>
            </w:r>
          </w:p>
        </w:tc>
      </w:tr>
      <w:tr w:rsidR="0036391B" w14:paraId="52AEBAB8" w14:textId="77777777" w:rsidTr="0011118E">
        <w:trPr>
          <w:cantSplit/>
          <w:trHeight w:val="60"/>
        </w:trPr>
        <w:tc>
          <w:tcPr>
            <w:tcW w:w="1871" w:type="dxa"/>
          </w:tcPr>
          <w:p w14:paraId="1D751C9A" w14:textId="77777777" w:rsidR="0036391B" w:rsidRDefault="0036391B" w:rsidP="0011118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0D6FE83" w14:textId="77777777" w:rsidR="0036391B" w:rsidRDefault="0036391B" w:rsidP="0011118E">
            <w:pPr>
              <w:pStyle w:val="TableText"/>
              <w:rPr>
                <w:rtl/>
              </w:rPr>
            </w:pPr>
          </w:p>
        </w:tc>
        <w:tc>
          <w:tcPr>
            <w:tcW w:w="624" w:type="dxa"/>
          </w:tcPr>
          <w:p w14:paraId="42EEB4C4" w14:textId="77777777" w:rsidR="0036391B" w:rsidRDefault="0036391B" w:rsidP="0011118E">
            <w:pPr>
              <w:pStyle w:val="TableText"/>
            </w:pPr>
          </w:p>
        </w:tc>
        <w:tc>
          <w:tcPr>
            <w:tcW w:w="6522" w:type="dxa"/>
            <w:hideMark/>
          </w:tcPr>
          <w:p w14:paraId="5A99A07D" w14:textId="77777777" w:rsidR="0036391B" w:rsidRDefault="0036391B" w:rsidP="0011118E">
            <w:pPr>
              <w:pStyle w:val="TableBlock"/>
            </w:pPr>
            <w:r>
              <w:rPr>
                <w:rtl/>
              </w:rPr>
              <w:t>(3)</w:t>
            </w:r>
            <w:r>
              <w:rPr>
                <w:rtl/>
              </w:rPr>
              <w:tab/>
              <w:t>חוק נכי המלחמה בנאצים, התשי"ד–1954</w:t>
            </w:r>
            <w:r>
              <w:rPr>
                <w:rStyle w:val="a6"/>
                <w:rtl/>
              </w:rPr>
              <w:footnoteReference w:id="5"/>
            </w:r>
            <w:r>
              <w:rPr>
                <w:rtl/>
              </w:rPr>
              <w:t>;</w:t>
            </w:r>
          </w:p>
        </w:tc>
      </w:tr>
      <w:tr w:rsidR="0036391B" w14:paraId="4CDDD56D" w14:textId="77777777" w:rsidTr="0011118E">
        <w:trPr>
          <w:cantSplit/>
          <w:trHeight w:val="60"/>
        </w:trPr>
        <w:tc>
          <w:tcPr>
            <w:tcW w:w="1871" w:type="dxa"/>
          </w:tcPr>
          <w:p w14:paraId="143E007C" w14:textId="77777777" w:rsidR="0036391B" w:rsidRDefault="0036391B" w:rsidP="0011118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9A54E25" w14:textId="77777777" w:rsidR="0036391B" w:rsidRDefault="0036391B" w:rsidP="0011118E">
            <w:pPr>
              <w:pStyle w:val="TableText"/>
              <w:rPr>
                <w:rtl/>
              </w:rPr>
            </w:pPr>
          </w:p>
        </w:tc>
        <w:tc>
          <w:tcPr>
            <w:tcW w:w="624" w:type="dxa"/>
          </w:tcPr>
          <w:p w14:paraId="45B3A4A7" w14:textId="77777777" w:rsidR="0036391B" w:rsidRDefault="0036391B" w:rsidP="0011118E">
            <w:pPr>
              <w:pStyle w:val="TableText"/>
            </w:pPr>
          </w:p>
        </w:tc>
        <w:tc>
          <w:tcPr>
            <w:tcW w:w="6522" w:type="dxa"/>
            <w:hideMark/>
          </w:tcPr>
          <w:p w14:paraId="17C071E3" w14:textId="77777777" w:rsidR="0036391B" w:rsidRDefault="0036391B" w:rsidP="0011118E">
            <w:pPr>
              <w:pStyle w:val="TableBlock"/>
            </w:pPr>
            <w:r>
              <w:rPr>
                <w:rtl/>
              </w:rPr>
              <w:t>(4)</w:t>
            </w:r>
            <w:r>
              <w:rPr>
                <w:rtl/>
              </w:rPr>
              <w:tab/>
              <w:t>חוק תגמולים לאסירי ציון ולבני משפחותיהם, התשנ"ב–1992</w:t>
            </w:r>
            <w:r>
              <w:rPr>
                <w:rStyle w:val="a6"/>
                <w:rtl/>
              </w:rPr>
              <w:footnoteReference w:id="6"/>
            </w:r>
            <w:r>
              <w:rPr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76B8526" w14:textId="77777777" w:rsidR="0036391B" w:rsidRPr="00D54908" w:rsidRDefault="0036391B" w:rsidP="0036391B">
      <w:pPr>
        <w:pStyle w:val="Hesber"/>
      </w:pPr>
      <w:r w:rsidRPr="00D54908">
        <w:rPr>
          <w:rtl/>
        </w:rPr>
        <w:t xml:space="preserve">בישראל חיים כיום כ-200,000 ניצולי שואה וכ-1,200 אסירי ציון. המחוקק הכיר בהם במספר מקרים בעבר כאוכלוסייה בעלת מאפיינים ייחודיים, הזקוקה לסיוע נוסף עקב האירועים והזוועות שחוותה. </w:t>
      </w:r>
    </w:p>
    <w:p w14:paraId="12DFB5D5" w14:textId="77777777" w:rsidR="0036391B" w:rsidRPr="00D54908" w:rsidRDefault="0036391B" w:rsidP="0036391B">
      <w:pPr>
        <w:pStyle w:val="Hesber"/>
        <w:rPr>
          <w:rtl/>
        </w:rPr>
      </w:pPr>
      <w:r w:rsidRPr="00D54908">
        <w:rPr>
          <w:rtl/>
        </w:rPr>
        <w:t xml:space="preserve">חוק האזרחים הוותיקים, התש"ן–1989 (להלן – החוק), קובע זכאויות והטבות הניתנות לאזרחים ותיקים, המוגדרים לפי החוק כמי שהגיעו לגיל פרישה. החוק קובע, בין היתר, הנחה בשיעור של 50% בכל אמצעי התחבורה הציבורית. עם זאת, החוק אינו מתייחס באופן מיוחד לאוכלוסיית ניצולי השואה ואסירי ציון. עבור </w:t>
      </w:r>
      <w:r>
        <w:rPr>
          <w:rFonts w:hint="cs"/>
          <w:rtl/>
        </w:rPr>
        <w:t>אנשים מ</w:t>
      </w:r>
      <w:r w:rsidRPr="00D54908">
        <w:rPr>
          <w:rtl/>
        </w:rPr>
        <w:t>אוכלוסיות אלו התחבורה הציבורית היא שירות יומיומי והכרחי המסייע בנסיעה לשירותי הרווחה והבריאות, אך עלותה עדיין גבוהה עבורם.</w:t>
      </w:r>
    </w:p>
    <w:p w14:paraId="2B4F7A9B" w14:textId="77777777" w:rsidR="0036391B" w:rsidRPr="00D54908" w:rsidRDefault="0036391B" w:rsidP="0036391B">
      <w:pPr>
        <w:pStyle w:val="Hesber"/>
      </w:pPr>
      <w:r w:rsidRPr="00D54908">
        <w:rPr>
          <w:rtl/>
        </w:rPr>
        <w:lastRenderedPageBreak/>
        <w:t xml:space="preserve">לפיכך מוצע להעניק </w:t>
      </w:r>
      <w:r>
        <w:rPr>
          <w:rFonts w:hint="cs"/>
          <w:rtl/>
        </w:rPr>
        <w:t>ל</w:t>
      </w:r>
      <w:r w:rsidRPr="00D54908">
        <w:rPr>
          <w:rtl/>
        </w:rPr>
        <w:t>ניצולי השואה ו</w:t>
      </w:r>
      <w:r>
        <w:rPr>
          <w:rFonts w:hint="cs"/>
          <w:rtl/>
        </w:rPr>
        <w:t>ל</w:t>
      </w:r>
      <w:r>
        <w:rPr>
          <w:rtl/>
        </w:rPr>
        <w:t>אסירי ציון</w:t>
      </w:r>
      <w:r w:rsidRPr="00D54908">
        <w:rPr>
          <w:rtl/>
        </w:rPr>
        <w:t xml:space="preserve"> הנחה בשיעור מלא </w:t>
      </w:r>
      <w:r>
        <w:rPr>
          <w:rFonts w:hint="cs"/>
          <w:rtl/>
        </w:rPr>
        <w:t xml:space="preserve">מדמי הנסיעה בתחבורה הציבורית, </w:t>
      </w:r>
      <w:r w:rsidRPr="00D54908">
        <w:rPr>
          <w:rtl/>
        </w:rPr>
        <w:t>על מנת לסייע לה</w:t>
      </w:r>
      <w:r>
        <w:rPr>
          <w:rFonts w:hint="cs"/>
          <w:rtl/>
        </w:rPr>
        <w:t>ם</w:t>
      </w:r>
      <w:r w:rsidRPr="00D54908">
        <w:rPr>
          <w:rtl/>
        </w:rPr>
        <w:t xml:space="preserve"> בהתניידות היומיומית ולהקל עליה</w:t>
      </w:r>
      <w:r>
        <w:rPr>
          <w:rFonts w:hint="cs"/>
          <w:rtl/>
        </w:rPr>
        <w:t>ם</w:t>
      </w:r>
      <w:r w:rsidRPr="00D54908">
        <w:rPr>
          <w:rtl/>
        </w:rPr>
        <w:t xml:space="preserve"> בהוצאה המשמעותית המכרסמת בחלק מהקצבאות </w:t>
      </w:r>
      <w:r>
        <w:rPr>
          <w:rFonts w:hint="cs"/>
          <w:rtl/>
        </w:rPr>
        <w:t>ש</w:t>
      </w:r>
      <w:r w:rsidRPr="00D54908">
        <w:rPr>
          <w:rtl/>
        </w:rPr>
        <w:t xml:space="preserve">להן </w:t>
      </w:r>
      <w:r>
        <w:rPr>
          <w:rFonts w:hint="cs"/>
          <w:rtl/>
        </w:rPr>
        <w:t>הם זכאים.</w:t>
      </w:r>
    </w:p>
    <w:p w14:paraId="231F5810" w14:textId="3A103E2B" w:rsidR="0036391B" w:rsidRDefault="0036391B" w:rsidP="001266F1">
      <w:pPr>
        <w:pStyle w:val="Hesber"/>
        <w:rPr>
          <w:rtl/>
        </w:rPr>
      </w:pPr>
      <w:r>
        <w:rPr>
          <w:rFonts w:hint="cs"/>
          <w:rtl/>
        </w:rPr>
        <w:t>הצעות</w:t>
      </w:r>
      <w:r w:rsidRPr="00D54908">
        <w:rPr>
          <w:rFonts w:hint="cs"/>
          <w:rtl/>
        </w:rPr>
        <w:t xml:space="preserve"> חוק זה</w:t>
      </w:r>
      <w:r>
        <w:rPr>
          <w:rFonts w:hint="cs"/>
          <w:rtl/>
        </w:rPr>
        <w:t>ות</w:t>
      </w:r>
      <w:r w:rsidRPr="00D54908">
        <w:rPr>
          <w:rFonts w:hint="cs"/>
          <w:rtl/>
        </w:rPr>
        <w:t xml:space="preserve"> הונח</w:t>
      </w:r>
      <w:r>
        <w:rPr>
          <w:rFonts w:hint="cs"/>
          <w:rtl/>
        </w:rPr>
        <w:t>ו</w:t>
      </w:r>
      <w:r w:rsidRPr="00D54908">
        <w:rPr>
          <w:rFonts w:hint="cs"/>
          <w:rtl/>
        </w:rPr>
        <w:t xml:space="preserve"> על שולחן הכנסת העשרים</w:t>
      </w:r>
      <w:r>
        <w:rPr>
          <w:rFonts w:hint="cs"/>
          <w:rtl/>
        </w:rPr>
        <w:t xml:space="preserve"> </w:t>
      </w:r>
      <w:r w:rsidRPr="00D54908">
        <w:rPr>
          <w:rFonts w:hint="cs"/>
          <w:rtl/>
        </w:rPr>
        <w:t>ואחת על ידי חבר הכנסת רועי פולקמן</w:t>
      </w:r>
      <w:r w:rsidR="006F08A5">
        <w:rPr>
          <w:rFonts w:hint="cs"/>
          <w:rtl/>
        </w:rPr>
        <w:t xml:space="preserve"> (פ/344/21), </w:t>
      </w:r>
      <w:r>
        <w:rPr>
          <w:rFonts w:hint="cs"/>
          <w:rtl/>
        </w:rPr>
        <w:t>על שולחן הכנסת העשרים ושתיים</w:t>
      </w:r>
      <w:r w:rsidR="00F63062" w:rsidRPr="00F63062">
        <w:rPr>
          <w:rFonts w:hint="cs"/>
          <w:rtl/>
        </w:rPr>
        <w:t xml:space="preserve"> </w:t>
      </w:r>
      <w:r w:rsidR="00F63062">
        <w:rPr>
          <w:rFonts w:hint="cs"/>
          <w:rtl/>
        </w:rPr>
        <w:t>על ידי חברת הכנסת קרן ברק (פ/389/22) ו</w:t>
      </w:r>
      <w:r>
        <w:rPr>
          <w:rFonts w:hint="cs"/>
          <w:rtl/>
        </w:rPr>
        <w:t>על ידי חב</w:t>
      </w:r>
      <w:r w:rsidR="00F63062">
        <w:rPr>
          <w:rFonts w:hint="cs"/>
          <w:rtl/>
        </w:rPr>
        <w:t>ר הכנסת איציק שמולי (פ/391/22)</w:t>
      </w:r>
      <w:r w:rsidR="006F08A5">
        <w:rPr>
          <w:rFonts w:hint="cs"/>
          <w:rtl/>
        </w:rPr>
        <w:t xml:space="preserve"> ועל שולחן הכנסת העשרים ושלוש על ידי חברת הכנסת קרן ברק (</w:t>
      </w:r>
      <w:r w:rsidR="001266F1">
        <w:rPr>
          <w:rFonts w:hint="cs"/>
          <w:rtl/>
        </w:rPr>
        <w:t>פ/327/23</w:t>
      </w:r>
      <w:r w:rsidR="006F08A5">
        <w:rPr>
          <w:rFonts w:hint="cs"/>
          <w:rtl/>
        </w:rPr>
        <w:t>).</w:t>
      </w:r>
    </w:p>
    <w:p w14:paraId="1C2DD3B6" w14:textId="467FFDB8" w:rsidR="001266F1" w:rsidRDefault="001266F1" w:rsidP="001266F1">
      <w:pPr>
        <w:pStyle w:val="Hesber"/>
        <w:rPr>
          <w:rtl/>
        </w:rPr>
      </w:pPr>
    </w:p>
    <w:p w14:paraId="3735614C" w14:textId="6CE2E0D0" w:rsidR="001266F1" w:rsidRDefault="001266F1" w:rsidP="001266F1">
      <w:pPr>
        <w:pStyle w:val="Hesber"/>
        <w:rPr>
          <w:rtl/>
        </w:rPr>
      </w:pPr>
    </w:p>
    <w:p w14:paraId="22FE5744" w14:textId="77777777" w:rsidR="001266F1" w:rsidRPr="00D73212" w:rsidRDefault="001266F1" w:rsidP="001266F1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2669D61" w14:textId="77777777" w:rsidR="001266F1" w:rsidRPr="00D73212" w:rsidRDefault="001266F1" w:rsidP="001266F1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5B04545" w14:textId="77777777" w:rsidR="001266F1" w:rsidRPr="00D73212" w:rsidRDefault="001266F1" w:rsidP="001266F1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65E0FED" w14:textId="77777777" w:rsidR="001266F1" w:rsidRPr="00317312" w:rsidRDefault="001266F1" w:rsidP="001266F1">
      <w:pPr>
        <w:pStyle w:val="Hesber"/>
      </w:pPr>
      <w:r>
        <w:rPr>
          <w:rFonts w:hint="cs"/>
          <w:color w:val="auto"/>
          <w:rtl/>
          <w:lang w:eastAsia="en-US"/>
        </w:rPr>
        <w:t xml:space="preserve">י"ז באייר התש"ף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11.5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20  </w:t>
      </w:r>
    </w:p>
    <w:p w14:paraId="56D77091" w14:textId="77777777" w:rsidR="001266F1" w:rsidRDefault="001266F1" w:rsidP="001266F1">
      <w:pPr>
        <w:pStyle w:val="Hesber"/>
        <w:rPr>
          <w:rtl/>
        </w:rPr>
      </w:pPr>
      <w:bookmarkStart w:id="8" w:name="_GoBack"/>
      <w:bookmarkEnd w:id="8"/>
    </w:p>
    <w:p w14:paraId="048229CB" w14:textId="77777777" w:rsidR="0036391B" w:rsidRDefault="0036391B" w:rsidP="0036391B">
      <w:pPr>
        <w:pStyle w:val="Hesber"/>
        <w:rPr>
          <w:rtl/>
        </w:rPr>
      </w:pPr>
    </w:p>
    <w:p w14:paraId="7F6961CB" w14:textId="72DABC39" w:rsidR="00E13C27" w:rsidRDefault="00E13C27" w:rsidP="0036391B">
      <w:pPr>
        <w:pStyle w:val="Hesber"/>
        <w:ind w:firstLine="0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2EF1FDBE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1266F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55186C5" w14:textId="77777777" w:rsidR="0036391B" w:rsidRDefault="0036391B" w:rsidP="0036391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התש"ן, עמ' 26.</w:t>
      </w:r>
    </w:p>
  </w:footnote>
  <w:footnote w:id="3">
    <w:p w14:paraId="53AC1B0B" w14:textId="77777777" w:rsidR="0036391B" w:rsidRDefault="0036391B" w:rsidP="0036391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התשי"ז, עמ' 163.</w:t>
      </w:r>
    </w:p>
  </w:footnote>
  <w:footnote w:id="4">
    <w:p w14:paraId="0C9648FF" w14:textId="77777777" w:rsidR="0036391B" w:rsidRDefault="0036391B" w:rsidP="0036391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התשס"ז, עמ' 47.</w:t>
      </w:r>
    </w:p>
  </w:footnote>
  <w:footnote w:id="5">
    <w:p w14:paraId="7C7B0380" w14:textId="77777777" w:rsidR="0036391B" w:rsidRDefault="0036391B" w:rsidP="0036391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התשי"ד, עמ' 76.</w:t>
      </w:r>
    </w:p>
  </w:footnote>
  <w:footnote w:id="6">
    <w:p w14:paraId="16422D6E" w14:textId="77777777" w:rsidR="0036391B" w:rsidRDefault="0036391B" w:rsidP="0036391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התשנ"ב, עמ' 205.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66F1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391B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F08A5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0878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3062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3943B81-D789-4081-9FC5-22EB95B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rsid w:val="0036391B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98A23-8727-4174-9EFA-D3AEAA63A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F046FE-84C9-4BB6-8E9C-8C2DD6E5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8</cp:revision>
  <cp:lastPrinted>2013-07-04T08:25:00Z</cp:lastPrinted>
  <dcterms:created xsi:type="dcterms:W3CDTF">2015-04-20T09:58:00Z</dcterms:created>
  <dcterms:modified xsi:type="dcterms:W3CDTF">2020-05-06T16:16:00Z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2086452</vt:r8>
  </property>
</Properties>
</file>