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2086521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B6BC5C1" w:rsidR="00E13C27" w:rsidRDefault="00904591" w:rsidP="00965194">
      <w:pPr>
        <w:pStyle w:val="David"/>
        <w:spacing w:before="0" w:line="240" w:lineRule="auto"/>
        <w:ind w:left="3544"/>
        <w:rPr>
          <w:rtl/>
        </w:rPr>
      </w:pPr>
      <w:r>
        <w:t xml:space="preserve"> </w:t>
      </w:r>
      <w:bookmarkStart w:id="4" w:name="Private_Number"/>
      <w:r w:rsidR="00965194">
        <w:rPr>
          <w:rtl/>
        </w:rPr>
        <w:tab/>
      </w:r>
      <w:r w:rsidR="00965194">
        <w:rPr>
          <w:rtl/>
        </w:rPr>
        <w:tab/>
      </w:r>
      <w:r w:rsidR="00965194">
        <w:rPr>
          <w:rtl/>
        </w:rPr>
        <w:tab/>
      </w:r>
      <w:r w:rsidR="00965194">
        <w:rPr>
          <w:rtl/>
        </w:rPr>
        <w:tab/>
      </w:r>
      <w:r>
        <w:rPr>
          <w:rFonts w:hint="cs"/>
          <w:rtl/>
        </w:rPr>
        <w:t>פ/701/23</w:t>
      </w:r>
      <w:bookmarkEnd w:id="4"/>
    </w:p>
    <w:p w14:paraId="7F6961AE" w14:textId="38983694" w:rsidR="00E13C27" w:rsidRDefault="00A443CF" w:rsidP="002610DE">
      <w:pPr>
        <w:pStyle w:val="HeadHatzaotHok"/>
        <w:rPr>
          <w:rtl/>
        </w:rPr>
      </w:pPr>
      <w:bookmarkStart w:id="5" w:name="LGS_Subject"/>
      <w:r>
        <w:rPr>
          <w:rFonts w:hint="cs"/>
          <w:rtl/>
        </w:rPr>
        <w:t xml:space="preserve">הצעת חוק המזונות (הבטחת תשלום) (תיקון </w:t>
      </w:r>
      <w:r w:rsidR="002610DE">
        <w:rPr>
          <w:rFonts w:hint="eastAsia"/>
          <w:rtl/>
        </w:rPr>
        <w:t>–</w:t>
      </w:r>
      <w:r>
        <w:rPr>
          <w:rFonts w:hint="cs"/>
          <w:rtl/>
        </w:rPr>
        <w:t xml:space="preserve"> סכום שלא יובא בחשבון במבחן ההכנסה), </w:t>
      </w:r>
      <w:r w:rsidR="002610DE">
        <w:rPr>
          <w:rtl/>
        </w:rPr>
        <w:br/>
      </w:r>
      <w:proofErr w:type="spellStart"/>
      <w:r>
        <w:rPr>
          <w:rFonts w:hint="cs"/>
          <w:rtl/>
        </w:rPr>
        <w:t>התש"ף</w:t>
      </w:r>
      <w:proofErr w:type="spellEnd"/>
      <w:r w:rsidR="002610DE">
        <w:rPr>
          <w:rFonts w:hint="eastAsia"/>
          <w:rtl/>
        </w:rPr>
        <w:t>–</w:t>
      </w:r>
      <w:r>
        <w:rPr>
          <w:rFonts w:hint="cs"/>
          <w:rtl/>
        </w:rPr>
        <w:t>2020</w:t>
      </w:r>
      <w:bookmarkEnd w:id="5"/>
    </w:p>
    <w:tbl>
      <w:tblPr>
        <w:bidiVisual/>
        <w:tblW w:w="9636" w:type="dxa"/>
        <w:tblLayout w:type="fixed"/>
        <w:tblCellMar>
          <w:top w:w="57" w:type="dxa"/>
          <w:left w:w="0" w:type="dxa"/>
          <w:bottom w:w="57" w:type="dxa"/>
          <w:right w:w="0" w:type="dxa"/>
        </w:tblCellMar>
        <w:tblLook w:val="04A0" w:firstRow="1" w:lastRow="0" w:firstColumn="1" w:lastColumn="0" w:noHBand="0" w:noVBand="1"/>
      </w:tblPr>
      <w:tblGrid>
        <w:gridCol w:w="1869"/>
        <w:gridCol w:w="624"/>
        <w:gridCol w:w="624"/>
        <w:gridCol w:w="624"/>
        <w:gridCol w:w="5895"/>
      </w:tblGrid>
      <w:tr w:rsidR="00797BB7" w14:paraId="35D4D91F" w14:textId="77777777" w:rsidTr="00797BB7">
        <w:trPr>
          <w:cantSplit/>
        </w:trPr>
        <w:tc>
          <w:tcPr>
            <w:tcW w:w="1869" w:type="dxa"/>
            <w:hideMark/>
          </w:tcPr>
          <w:p w14:paraId="6E205767" w14:textId="77777777" w:rsidR="00797BB7" w:rsidRPr="002C298B" w:rsidRDefault="00797BB7" w:rsidP="00C5096E">
            <w:pPr>
              <w:pStyle w:val="TableSideHeading"/>
            </w:pPr>
            <w:r w:rsidRPr="002C298B">
              <w:rPr>
                <w:rtl/>
              </w:rPr>
              <w:t>תיקון סעיף 3</w:t>
            </w:r>
          </w:p>
        </w:tc>
        <w:tc>
          <w:tcPr>
            <w:tcW w:w="624" w:type="dxa"/>
            <w:hideMark/>
          </w:tcPr>
          <w:p w14:paraId="69C5FC75" w14:textId="77777777" w:rsidR="00797BB7" w:rsidRPr="002C298B" w:rsidRDefault="00797BB7" w:rsidP="00C5096E">
            <w:pPr>
              <w:pStyle w:val="TableText"/>
              <w:jc w:val="both"/>
              <w:rPr>
                <w:rtl/>
              </w:rPr>
            </w:pPr>
            <w:r w:rsidRPr="002C298B">
              <w:rPr>
                <w:rtl/>
              </w:rPr>
              <w:t>1.</w:t>
            </w:r>
          </w:p>
        </w:tc>
        <w:tc>
          <w:tcPr>
            <w:tcW w:w="7143" w:type="dxa"/>
            <w:gridSpan w:val="3"/>
            <w:hideMark/>
          </w:tcPr>
          <w:p w14:paraId="6B730006" w14:textId="77777777" w:rsidR="00797BB7" w:rsidRPr="002C298B" w:rsidRDefault="00797BB7" w:rsidP="00C5096E">
            <w:pPr>
              <w:pStyle w:val="TableBlock"/>
              <w:rPr>
                <w:rtl/>
              </w:rPr>
            </w:pPr>
            <w:r w:rsidRPr="002C298B">
              <w:rPr>
                <w:rtl/>
              </w:rPr>
              <w:t xml:space="preserve">בחוק המזונות (הבטחת תשלום), </w:t>
            </w:r>
            <w:proofErr w:type="spellStart"/>
            <w:r w:rsidRPr="002C298B">
              <w:rPr>
                <w:rtl/>
              </w:rPr>
              <w:t>התשל"ב</w:t>
            </w:r>
            <w:proofErr w:type="spellEnd"/>
            <w:r w:rsidRPr="002C298B">
              <w:rPr>
                <w:rtl/>
              </w:rPr>
              <w:t>–1972</w:t>
            </w:r>
            <w:r w:rsidRPr="0017051D">
              <w:rPr>
                <w:rFonts w:ascii="David" w:hAnsi="David"/>
                <w:sz w:val="26"/>
                <w:vertAlign w:val="superscript"/>
                <w:rtl/>
              </w:rPr>
              <w:footnoteReference w:id="2"/>
            </w:r>
            <w:r w:rsidRPr="002C298B">
              <w:rPr>
                <w:rtl/>
              </w:rPr>
              <w:t>, בסעיף 3, האמור בו יסומן "(א)" ואחריו יבוא:</w:t>
            </w:r>
          </w:p>
        </w:tc>
      </w:tr>
      <w:tr w:rsidR="00797BB7" w14:paraId="03CEA208" w14:textId="77777777" w:rsidTr="00797BB7">
        <w:tblPrEx>
          <w:tblLook w:val="01E0" w:firstRow="1" w:lastRow="1" w:firstColumn="1" w:lastColumn="1" w:noHBand="0" w:noVBand="0"/>
        </w:tblPrEx>
        <w:trPr>
          <w:cantSplit/>
        </w:trPr>
        <w:tc>
          <w:tcPr>
            <w:tcW w:w="1869" w:type="dxa"/>
          </w:tcPr>
          <w:p w14:paraId="419A4650" w14:textId="77777777" w:rsidR="00797BB7" w:rsidRDefault="00797BB7" w:rsidP="00C5096E">
            <w:pPr>
              <w:pStyle w:val="TableSideHeading"/>
            </w:pPr>
          </w:p>
        </w:tc>
        <w:tc>
          <w:tcPr>
            <w:tcW w:w="624" w:type="dxa"/>
          </w:tcPr>
          <w:p w14:paraId="568852E9" w14:textId="77777777" w:rsidR="00797BB7" w:rsidRDefault="00797BB7" w:rsidP="00C5096E">
            <w:pPr>
              <w:pStyle w:val="TableText"/>
            </w:pPr>
          </w:p>
        </w:tc>
        <w:tc>
          <w:tcPr>
            <w:tcW w:w="624" w:type="dxa"/>
          </w:tcPr>
          <w:p w14:paraId="46E1AB68" w14:textId="77777777" w:rsidR="00797BB7" w:rsidRDefault="00797BB7" w:rsidP="00C5096E">
            <w:pPr>
              <w:pStyle w:val="TableText"/>
            </w:pPr>
            <w:r>
              <w:rPr>
                <w:rFonts w:hint="cs"/>
                <w:rtl/>
              </w:rPr>
              <w:t>(ב)</w:t>
            </w:r>
          </w:p>
        </w:tc>
        <w:tc>
          <w:tcPr>
            <w:tcW w:w="6519" w:type="dxa"/>
            <w:gridSpan w:val="2"/>
          </w:tcPr>
          <w:p w14:paraId="5A798ACC" w14:textId="77777777" w:rsidR="00797BB7" w:rsidRPr="00EE131A" w:rsidRDefault="00797BB7" w:rsidP="00C5096E">
            <w:pPr>
              <w:pStyle w:val="TableBlock"/>
            </w:pPr>
            <w:r>
              <w:rPr>
                <w:rFonts w:hint="cs"/>
                <w:rtl/>
              </w:rPr>
              <w:t>"(1)</w:t>
            </w:r>
            <w:r>
              <w:rPr>
                <w:rtl/>
              </w:rPr>
              <w:tab/>
            </w:r>
            <w:r w:rsidRPr="002C298B">
              <w:rPr>
                <w:rtl/>
              </w:rPr>
              <w:t xml:space="preserve">בחישוב התשלום </w:t>
            </w:r>
            <w:r>
              <w:rPr>
                <w:rFonts w:hint="cs"/>
                <w:rtl/>
              </w:rPr>
              <w:t>המגיע ל</w:t>
            </w:r>
            <w:r w:rsidRPr="002C298B">
              <w:rPr>
                <w:rtl/>
              </w:rPr>
              <w:t>זוכה לפי חוק זה לא תובא בחשבון הכנסה בסכום השווה לשכר המינימום כמשמעותו בחוק שכר מינימום</w:t>
            </w:r>
            <w:r>
              <w:rPr>
                <w:rFonts w:hint="cs"/>
                <w:rtl/>
              </w:rPr>
              <w:t xml:space="preserve">, </w:t>
            </w:r>
            <w:proofErr w:type="spellStart"/>
            <w:r>
              <w:rPr>
                <w:rFonts w:hint="cs"/>
                <w:rtl/>
              </w:rPr>
              <w:t>התשמ"ז</w:t>
            </w:r>
            <w:proofErr w:type="spellEnd"/>
            <w:r>
              <w:rPr>
                <w:rFonts w:hint="eastAsia"/>
                <w:rtl/>
              </w:rPr>
              <w:t>–1987</w:t>
            </w:r>
            <w:r w:rsidRPr="0017051D">
              <w:rPr>
                <w:rStyle w:val="a6"/>
                <w:rFonts w:ascii="David" w:hAnsi="David"/>
                <w:sz w:val="26"/>
                <w:rtl/>
              </w:rPr>
              <w:footnoteReference w:id="3"/>
            </w:r>
            <w:r w:rsidRPr="002C298B">
              <w:rPr>
                <w:rtl/>
              </w:rPr>
              <w:t>;</w:t>
            </w:r>
          </w:p>
        </w:tc>
      </w:tr>
      <w:tr w:rsidR="00797BB7" w14:paraId="0D0BDDE6" w14:textId="77777777" w:rsidTr="00797BB7">
        <w:tblPrEx>
          <w:tblLook w:val="01E0" w:firstRow="1" w:lastRow="1" w:firstColumn="1" w:lastColumn="1" w:noHBand="0" w:noVBand="0"/>
        </w:tblPrEx>
        <w:trPr>
          <w:cantSplit/>
        </w:trPr>
        <w:tc>
          <w:tcPr>
            <w:tcW w:w="1869" w:type="dxa"/>
          </w:tcPr>
          <w:p w14:paraId="292AD24B" w14:textId="77777777" w:rsidR="00797BB7" w:rsidRPr="00F71911" w:rsidRDefault="00797BB7" w:rsidP="00C5096E">
            <w:pPr>
              <w:pStyle w:val="TableSideHeading"/>
            </w:pPr>
          </w:p>
        </w:tc>
        <w:tc>
          <w:tcPr>
            <w:tcW w:w="624" w:type="dxa"/>
          </w:tcPr>
          <w:p w14:paraId="6AD2425D" w14:textId="77777777" w:rsidR="00797BB7" w:rsidRDefault="00797BB7" w:rsidP="00C5096E">
            <w:pPr>
              <w:pStyle w:val="TableText"/>
            </w:pPr>
          </w:p>
        </w:tc>
        <w:tc>
          <w:tcPr>
            <w:tcW w:w="624" w:type="dxa"/>
          </w:tcPr>
          <w:p w14:paraId="1F48CFB1" w14:textId="77777777" w:rsidR="00797BB7" w:rsidRDefault="00797BB7" w:rsidP="00C5096E">
            <w:pPr>
              <w:pStyle w:val="TableText"/>
              <w:rPr>
                <w:rtl/>
              </w:rPr>
            </w:pPr>
          </w:p>
        </w:tc>
        <w:tc>
          <w:tcPr>
            <w:tcW w:w="6519" w:type="dxa"/>
            <w:gridSpan w:val="2"/>
          </w:tcPr>
          <w:p w14:paraId="47546DFA" w14:textId="77777777" w:rsidR="00797BB7" w:rsidRDefault="00797BB7" w:rsidP="00C5096E">
            <w:pPr>
              <w:pStyle w:val="TableBlock"/>
              <w:rPr>
                <w:rtl/>
              </w:rPr>
            </w:pPr>
            <w:r w:rsidRPr="002C298B">
              <w:rPr>
                <w:rtl/>
              </w:rPr>
              <w:t>(</w:t>
            </w:r>
            <w:r>
              <w:rPr>
                <w:rFonts w:hint="cs"/>
                <w:rtl/>
              </w:rPr>
              <w:t>2</w:t>
            </w:r>
            <w:r w:rsidRPr="002C298B">
              <w:rPr>
                <w:rtl/>
              </w:rPr>
              <w:t>)</w:t>
            </w:r>
            <w:r w:rsidRPr="002C298B">
              <w:rPr>
                <w:rtl/>
              </w:rPr>
              <w:tab/>
              <w:t xml:space="preserve"> לגבי חלק ההכנסה של הזוכה העולה על שכר המינימום (להלן – ההכנסה העודפת) </w:t>
            </w:r>
            <w:r>
              <w:rPr>
                <w:rFonts w:hint="cs"/>
                <w:rtl/>
              </w:rPr>
              <w:t>תחושב הכנסתו כצירוף כל הסכומים המתקבלים ממכפלת הסכומים כמפורט בטור א' בשיעורים המפורטים בטור ב', בפרטים (1) עד (6) שלהלן:</w:t>
            </w:r>
          </w:p>
        </w:tc>
      </w:tr>
      <w:tr w:rsidR="00797BB7" w14:paraId="686EA757" w14:textId="77777777" w:rsidTr="00797BB7">
        <w:tblPrEx>
          <w:tblLook w:val="01E0" w:firstRow="1" w:lastRow="1" w:firstColumn="1" w:lastColumn="1" w:noHBand="0" w:noVBand="0"/>
        </w:tblPrEx>
        <w:trPr>
          <w:cantSplit/>
        </w:trPr>
        <w:tc>
          <w:tcPr>
            <w:tcW w:w="1869" w:type="dxa"/>
          </w:tcPr>
          <w:p w14:paraId="1B4C7E60" w14:textId="77777777" w:rsidR="00797BB7" w:rsidRDefault="00797BB7" w:rsidP="00C5096E">
            <w:pPr>
              <w:pStyle w:val="TableSideHeading"/>
            </w:pPr>
          </w:p>
        </w:tc>
        <w:tc>
          <w:tcPr>
            <w:tcW w:w="624" w:type="dxa"/>
          </w:tcPr>
          <w:p w14:paraId="6098D6BB" w14:textId="77777777" w:rsidR="00797BB7" w:rsidRDefault="00797BB7" w:rsidP="00C5096E">
            <w:pPr>
              <w:pStyle w:val="TableText"/>
            </w:pPr>
          </w:p>
        </w:tc>
        <w:tc>
          <w:tcPr>
            <w:tcW w:w="624" w:type="dxa"/>
          </w:tcPr>
          <w:p w14:paraId="6272A411" w14:textId="77777777" w:rsidR="00797BB7" w:rsidRDefault="00797BB7" w:rsidP="00C5096E">
            <w:pPr>
              <w:pStyle w:val="TableText"/>
            </w:pPr>
          </w:p>
        </w:tc>
        <w:tc>
          <w:tcPr>
            <w:tcW w:w="624" w:type="dxa"/>
          </w:tcPr>
          <w:p w14:paraId="630CFBBD" w14:textId="77777777" w:rsidR="00797BB7" w:rsidRDefault="00797BB7" w:rsidP="00C5096E">
            <w:pPr>
              <w:pStyle w:val="TableText"/>
            </w:pPr>
          </w:p>
        </w:tc>
        <w:tc>
          <w:tcPr>
            <w:tcW w:w="5895" w:type="dxa"/>
          </w:tcPr>
          <w:tbl>
            <w:tblPr>
              <w:tblStyle w:val="ae"/>
              <w:tblpPr w:leftFromText="180" w:rightFromText="180" w:vertAnchor="text" w:horzAnchor="margin" w:tblpXSpec="center" w:tblpY="-155"/>
              <w:tblOverlap w:val="never"/>
              <w:bidiVisual/>
              <w:tblW w:w="5261" w:type="dxa"/>
              <w:tblLayout w:type="fixed"/>
              <w:tblLook w:val="05E0" w:firstRow="1" w:lastRow="1" w:firstColumn="1" w:lastColumn="1" w:noHBand="0" w:noVBand="1"/>
            </w:tblPr>
            <w:tblGrid>
              <w:gridCol w:w="4410"/>
              <w:gridCol w:w="851"/>
            </w:tblGrid>
            <w:tr w:rsidR="00797BB7" w14:paraId="75E87257" w14:textId="77777777" w:rsidTr="00C5096E">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4410" w:type="dxa"/>
                  <w:vAlign w:val="top"/>
                </w:tcPr>
                <w:p w14:paraId="04225A28" w14:textId="77777777" w:rsidR="00797BB7" w:rsidRDefault="00797BB7" w:rsidP="00C5096E">
                  <w:pPr>
                    <w:pStyle w:val="TableBlock"/>
                    <w:rPr>
                      <w:rtl/>
                    </w:rPr>
                  </w:pPr>
                  <w:r w:rsidRPr="003227AD">
                    <w:rPr>
                      <w:rtl/>
                    </w:rPr>
                    <w:t>טור א'</w:t>
                  </w:r>
                </w:p>
              </w:tc>
              <w:tc>
                <w:tcPr>
                  <w:cnfStyle w:val="000100000000" w:firstRow="0" w:lastRow="0" w:firstColumn="0" w:lastColumn="1" w:oddVBand="0" w:evenVBand="0" w:oddHBand="0" w:evenHBand="0" w:firstRowFirstColumn="0" w:firstRowLastColumn="0" w:lastRowFirstColumn="0" w:lastRowLastColumn="0"/>
                  <w:tcW w:w="851" w:type="dxa"/>
                  <w:vAlign w:val="top"/>
                </w:tcPr>
                <w:p w14:paraId="34E95180" w14:textId="77777777" w:rsidR="00797BB7" w:rsidRDefault="00797BB7" w:rsidP="00C5096E">
                  <w:pPr>
                    <w:pStyle w:val="TableBlock"/>
                    <w:jc w:val="center"/>
                    <w:rPr>
                      <w:rtl/>
                    </w:rPr>
                  </w:pPr>
                  <w:r w:rsidRPr="002C298B">
                    <w:rPr>
                      <w:rtl/>
                    </w:rPr>
                    <w:t>טור ב'</w:t>
                  </w:r>
                </w:p>
              </w:tc>
            </w:tr>
            <w:tr w:rsidR="00797BB7" w14:paraId="0631B602" w14:textId="77777777" w:rsidTr="00C5096E">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71776173" w14:textId="77777777" w:rsidR="00797BB7" w:rsidRPr="0017051D" w:rsidRDefault="00797BB7" w:rsidP="00C5096E">
                  <w:pPr>
                    <w:pStyle w:val="TableBlock"/>
                    <w:rPr>
                      <w:rtl/>
                    </w:rPr>
                  </w:pPr>
                  <w:r w:rsidRPr="0017051D">
                    <w:rPr>
                      <w:rtl/>
                    </w:rPr>
                    <w:t>(1)</w:t>
                  </w:r>
                  <w:r w:rsidRPr="0017051D">
                    <w:rPr>
                      <w:rtl/>
                    </w:rPr>
                    <w:tab/>
                    <w:t>חלק ההכנסה העודפת שעד 1000</w:t>
                  </w:r>
                </w:p>
              </w:tc>
              <w:tc>
                <w:tcPr>
                  <w:cnfStyle w:val="000100000000" w:firstRow="0" w:lastRow="0" w:firstColumn="0" w:lastColumn="1" w:oddVBand="0" w:evenVBand="0" w:oddHBand="0" w:evenHBand="0" w:firstRowFirstColumn="0" w:firstRowLastColumn="0" w:lastRowFirstColumn="0" w:lastRowLastColumn="0"/>
                  <w:tcW w:w="851" w:type="dxa"/>
                </w:tcPr>
                <w:p w14:paraId="0BE25DB6" w14:textId="77777777" w:rsidR="00797BB7" w:rsidRDefault="00797BB7" w:rsidP="00C5096E">
                  <w:pPr>
                    <w:pStyle w:val="TableBlock"/>
                    <w:jc w:val="center"/>
                    <w:rPr>
                      <w:rtl/>
                    </w:rPr>
                  </w:pPr>
                  <w:r>
                    <w:rPr>
                      <w:rFonts w:hint="cs"/>
                      <w:rtl/>
                    </w:rPr>
                    <w:t>20%</w:t>
                  </w:r>
                </w:p>
              </w:tc>
            </w:tr>
            <w:tr w:rsidR="00797BB7" w14:paraId="2E602681" w14:textId="77777777" w:rsidTr="00C5096E">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3C20289E" w14:textId="77777777" w:rsidR="00797BB7" w:rsidRPr="0017051D" w:rsidRDefault="00797BB7" w:rsidP="00C5096E">
                  <w:pPr>
                    <w:pStyle w:val="TableBlock"/>
                    <w:rPr>
                      <w:rtl/>
                    </w:rPr>
                  </w:pPr>
                  <w:r w:rsidRPr="0017051D">
                    <w:rPr>
                      <w:rtl/>
                    </w:rPr>
                    <w:t>(2)</w:t>
                  </w:r>
                  <w:r w:rsidRPr="0017051D">
                    <w:rPr>
                      <w:rtl/>
                    </w:rPr>
                    <w:tab/>
                    <w:t>חלק ההכנסה העודפת שבין 100</w:t>
                  </w:r>
                  <w:r w:rsidRPr="0017051D">
                    <w:rPr>
                      <w:rFonts w:hint="cs"/>
                      <w:rtl/>
                    </w:rPr>
                    <w:t>1</w:t>
                  </w:r>
                  <w:r w:rsidRPr="0017051D">
                    <w:rPr>
                      <w:rtl/>
                    </w:rPr>
                    <w:t xml:space="preserve"> ל-2000 </w:t>
                  </w:r>
                </w:p>
              </w:tc>
              <w:tc>
                <w:tcPr>
                  <w:cnfStyle w:val="000100000000" w:firstRow="0" w:lastRow="0" w:firstColumn="0" w:lastColumn="1" w:oddVBand="0" w:evenVBand="0" w:oddHBand="0" w:evenHBand="0" w:firstRowFirstColumn="0" w:firstRowLastColumn="0" w:lastRowFirstColumn="0" w:lastRowLastColumn="0"/>
                  <w:tcW w:w="851" w:type="dxa"/>
                </w:tcPr>
                <w:p w14:paraId="38C31096" w14:textId="77777777" w:rsidR="00797BB7" w:rsidRDefault="00797BB7" w:rsidP="00C5096E">
                  <w:pPr>
                    <w:pStyle w:val="TableBlock"/>
                    <w:jc w:val="center"/>
                    <w:rPr>
                      <w:rtl/>
                    </w:rPr>
                  </w:pPr>
                  <w:r>
                    <w:rPr>
                      <w:rFonts w:hint="cs"/>
                      <w:rtl/>
                    </w:rPr>
                    <w:t>30%</w:t>
                  </w:r>
                </w:p>
              </w:tc>
            </w:tr>
            <w:tr w:rsidR="00797BB7" w14:paraId="28246F24" w14:textId="77777777" w:rsidTr="00C5096E">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39B1FECD" w14:textId="77777777" w:rsidR="00797BB7" w:rsidRPr="0017051D" w:rsidRDefault="00797BB7" w:rsidP="00C5096E">
                  <w:pPr>
                    <w:pStyle w:val="TableBlock"/>
                    <w:rPr>
                      <w:rtl/>
                    </w:rPr>
                  </w:pPr>
                  <w:r w:rsidRPr="0017051D">
                    <w:rPr>
                      <w:rtl/>
                    </w:rPr>
                    <w:t>(3)</w:t>
                  </w:r>
                  <w:r w:rsidRPr="0017051D">
                    <w:rPr>
                      <w:rtl/>
                    </w:rPr>
                    <w:tab/>
                    <w:t>חלק ההכנסה העודפת שבין 200</w:t>
                  </w:r>
                  <w:r w:rsidRPr="0017051D">
                    <w:rPr>
                      <w:rFonts w:hint="cs"/>
                      <w:rtl/>
                    </w:rPr>
                    <w:t>1</w:t>
                  </w:r>
                  <w:r w:rsidRPr="0017051D">
                    <w:rPr>
                      <w:rtl/>
                    </w:rPr>
                    <w:t xml:space="preserve"> ל-3000</w:t>
                  </w:r>
                </w:p>
              </w:tc>
              <w:tc>
                <w:tcPr>
                  <w:cnfStyle w:val="000100000000" w:firstRow="0" w:lastRow="0" w:firstColumn="0" w:lastColumn="1" w:oddVBand="0" w:evenVBand="0" w:oddHBand="0" w:evenHBand="0" w:firstRowFirstColumn="0" w:firstRowLastColumn="0" w:lastRowFirstColumn="0" w:lastRowLastColumn="0"/>
                  <w:tcW w:w="851" w:type="dxa"/>
                </w:tcPr>
                <w:p w14:paraId="7C88D370" w14:textId="77777777" w:rsidR="00797BB7" w:rsidRDefault="00797BB7" w:rsidP="00C5096E">
                  <w:pPr>
                    <w:pStyle w:val="TableBlock"/>
                    <w:jc w:val="center"/>
                    <w:rPr>
                      <w:rtl/>
                    </w:rPr>
                  </w:pPr>
                  <w:r>
                    <w:rPr>
                      <w:rFonts w:hint="cs"/>
                      <w:rtl/>
                    </w:rPr>
                    <w:t>40%</w:t>
                  </w:r>
                </w:p>
              </w:tc>
            </w:tr>
            <w:tr w:rsidR="00797BB7" w14:paraId="4C84D2EA" w14:textId="77777777" w:rsidTr="00C5096E">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18C890DF" w14:textId="77777777" w:rsidR="00797BB7" w:rsidRPr="0017051D" w:rsidRDefault="00797BB7" w:rsidP="00C5096E">
                  <w:pPr>
                    <w:pStyle w:val="TableBlock"/>
                    <w:rPr>
                      <w:rtl/>
                    </w:rPr>
                  </w:pPr>
                  <w:r w:rsidRPr="0017051D">
                    <w:rPr>
                      <w:rtl/>
                    </w:rPr>
                    <w:t>(4)</w:t>
                  </w:r>
                  <w:r w:rsidRPr="0017051D">
                    <w:rPr>
                      <w:rtl/>
                    </w:rPr>
                    <w:tab/>
                    <w:t>חלק ההכנסה העודפת שבין 300</w:t>
                  </w:r>
                  <w:r w:rsidRPr="0017051D">
                    <w:rPr>
                      <w:rFonts w:hint="cs"/>
                      <w:rtl/>
                    </w:rPr>
                    <w:t>1</w:t>
                  </w:r>
                  <w:r w:rsidRPr="0017051D">
                    <w:rPr>
                      <w:rtl/>
                    </w:rPr>
                    <w:t xml:space="preserve"> ל-4000</w:t>
                  </w:r>
                </w:p>
              </w:tc>
              <w:tc>
                <w:tcPr>
                  <w:cnfStyle w:val="000100000000" w:firstRow="0" w:lastRow="0" w:firstColumn="0" w:lastColumn="1" w:oddVBand="0" w:evenVBand="0" w:oddHBand="0" w:evenHBand="0" w:firstRowFirstColumn="0" w:firstRowLastColumn="0" w:lastRowFirstColumn="0" w:lastRowLastColumn="0"/>
                  <w:tcW w:w="851" w:type="dxa"/>
                </w:tcPr>
                <w:p w14:paraId="616A77DA" w14:textId="77777777" w:rsidR="00797BB7" w:rsidRDefault="00797BB7" w:rsidP="00C5096E">
                  <w:pPr>
                    <w:pStyle w:val="TableBlock"/>
                    <w:jc w:val="center"/>
                    <w:rPr>
                      <w:rtl/>
                    </w:rPr>
                  </w:pPr>
                  <w:r>
                    <w:rPr>
                      <w:rFonts w:hint="cs"/>
                      <w:rtl/>
                    </w:rPr>
                    <w:t>50%</w:t>
                  </w:r>
                </w:p>
              </w:tc>
            </w:tr>
            <w:tr w:rsidR="00797BB7" w14:paraId="7D55F6DF" w14:textId="77777777" w:rsidTr="00C5096E">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1E9C4A5B" w14:textId="77777777" w:rsidR="00797BB7" w:rsidRPr="0017051D" w:rsidRDefault="00797BB7" w:rsidP="00C5096E">
                  <w:pPr>
                    <w:pStyle w:val="TableBlock"/>
                    <w:rPr>
                      <w:rtl/>
                    </w:rPr>
                  </w:pPr>
                  <w:r w:rsidRPr="0017051D">
                    <w:rPr>
                      <w:rtl/>
                    </w:rPr>
                    <w:t>(5)</w:t>
                  </w:r>
                  <w:r w:rsidRPr="0017051D">
                    <w:rPr>
                      <w:rtl/>
                    </w:rPr>
                    <w:tab/>
                    <w:t>חלק ההכנסה העודפת שבין 400</w:t>
                  </w:r>
                  <w:r w:rsidRPr="0017051D">
                    <w:rPr>
                      <w:rFonts w:hint="cs"/>
                      <w:rtl/>
                    </w:rPr>
                    <w:t>1</w:t>
                  </w:r>
                  <w:r w:rsidRPr="0017051D">
                    <w:rPr>
                      <w:rtl/>
                    </w:rPr>
                    <w:t xml:space="preserve"> ל-5000</w:t>
                  </w:r>
                </w:p>
              </w:tc>
              <w:tc>
                <w:tcPr>
                  <w:cnfStyle w:val="000100000000" w:firstRow="0" w:lastRow="0" w:firstColumn="0" w:lastColumn="1" w:oddVBand="0" w:evenVBand="0" w:oddHBand="0" w:evenHBand="0" w:firstRowFirstColumn="0" w:firstRowLastColumn="0" w:lastRowFirstColumn="0" w:lastRowLastColumn="0"/>
                  <w:tcW w:w="851" w:type="dxa"/>
                </w:tcPr>
                <w:p w14:paraId="6CDD3563" w14:textId="77777777" w:rsidR="00797BB7" w:rsidRDefault="00797BB7" w:rsidP="00C5096E">
                  <w:pPr>
                    <w:pStyle w:val="TableBlock"/>
                    <w:jc w:val="center"/>
                    <w:rPr>
                      <w:rtl/>
                    </w:rPr>
                  </w:pPr>
                  <w:r>
                    <w:rPr>
                      <w:rFonts w:hint="cs"/>
                      <w:rtl/>
                    </w:rPr>
                    <w:t>60%</w:t>
                  </w:r>
                </w:p>
              </w:tc>
            </w:tr>
            <w:tr w:rsidR="00797BB7" w14:paraId="19EE1FEC" w14:textId="77777777" w:rsidTr="00C5096E">
              <w:trPr>
                <w:trHeight w:val="380"/>
              </w:trPr>
              <w:tc>
                <w:tcPr>
                  <w:cnfStyle w:val="001000000000" w:firstRow="0" w:lastRow="0" w:firstColumn="1" w:lastColumn="0" w:oddVBand="0" w:evenVBand="0" w:oddHBand="0" w:evenHBand="0" w:firstRowFirstColumn="0" w:firstRowLastColumn="0" w:lastRowFirstColumn="0" w:lastRowLastColumn="0"/>
                  <w:tcW w:w="4410" w:type="dxa"/>
                  <w:vAlign w:val="top"/>
                </w:tcPr>
                <w:p w14:paraId="65ECB608" w14:textId="77777777" w:rsidR="00797BB7" w:rsidRPr="0017051D" w:rsidRDefault="00797BB7" w:rsidP="00C5096E">
                  <w:pPr>
                    <w:pStyle w:val="TableBlock"/>
                    <w:rPr>
                      <w:rtl/>
                    </w:rPr>
                  </w:pPr>
                  <w:r w:rsidRPr="0017051D">
                    <w:rPr>
                      <w:rtl/>
                    </w:rPr>
                    <w:t>(6)</w:t>
                  </w:r>
                  <w:r w:rsidRPr="0017051D">
                    <w:rPr>
                      <w:rtl/>
                    </w:rPr>
                    <w:tab/>
                    <w:t>חלק ההכנסה העודפת שמעל 500</w:t>
                  </w:r>
                  <w:r w:rsidRPr="0017051D">
                    <w:rPr>
                      <w:rFonts w:hint="cs"/>
                      <w:rtl/>
                    </w:rPr>
                    <w:t>1</w:t>
                  </w:r>
                </w:p>
              </w:tc>
              <w:tc>
                <w:tcPr>
                  <w:cnfStyle w:val="000100000000" w:firstRow="0" w:lastRow="0" w:firstColumn="0" w:lastColumn="1" w:oddVBand="0" w:evenVBand="0" w:oddHBand="0" w:evenHBand="0" w:firstRowFirstColumn="0" w:firstRowLastColumn="0" w:lastRowFirstColumn="0" w:lastRowLastColumn="0"/>
                  <w:tcW w:w="851" w:type="dxa"/>
                </w:tcPr>
                <w:p w14:paraId="451035D6" w14:textId="77777777" w:rsidR="00797BB7" w:rsidRDefault="00797BB7" w:rsidP="00C5096E">
                  <w:pPr>
                    <w:pStyle w:val="TableBlock"/>
                    <w:jc w:val="center"/>
                    <w:rPr>
                      <w:rtl/>
                    </w:rPr>
                  </w:pPr>
                  <w:r>
                    <w:rPr>
                      <w:rFonts w:hint="cs"/>
                      <w:rtl/>
                    </w:rPr>
                    <w:t>70%</w:t>
                  </w:r>
                </w:p>
              </w:tc>
            </w:tr>
          </w:tbl>
          <w:p w14:paraId="5F4B57A8" w14:textId="77777777" w:rsidR="00797BB7" w:rsidRDefault="00797BB7" w:rsidP="00C5096E">
            <w:pPr>
              <w:pStyle w:val="TableBlock"/>
            </w:pPr>
          </w:p>
        </w:tc>
      </w:tr>
      <w:tr w:rsidR="00797BB7" w14:paraId="70EF7C67" w14:textId="77777777" w:rsidTr="00797BB7">
        <w:tblPrEx>
          <w:tblLook w:val="01E0" w:firstRow="1" w:lastRow="1" w:firstColumn="1" w:lastColumn="1" w:noHBand="0" w:noVBand="0"/>
        </w:tblPrEx>
        <w:trPr>
          <w:cantSplit/>
        </w:trPr>
        <w:tc>
          <w:tcPr>
            <w:tcW w:w="1869" w:type="dxa"/>
          </w:tcPr>
          <w:p w14:paraId="7816903D" w14:textId="77777777" w:rsidR="00797BB7" w:rsidRDefault="00797BB7" w:rsidP="00C5096E">
            <w:pPr>
              <w:pStyle w:val="TableSideHeading"/>
            </w:pPr>
          </w:p>
        </w:tc>
        <w:tc>
          <w:tcPr>
            <w:tcW w:w="624" w:type="dxa"/>
          </w:tcPr>
          <w:p w14:paraId="14A879FC" w14:textId="77777777" w:rsidR="00797BB7" w:rsidRDefault="00797BB7" w:rsidP="00C5096E">
            <w:pPr>
              <w:pStyle w:val="TableText"/>
            </w:pPr>
          </w:p>
        </w:tc>
        <w:tc>
          <w:tcPr>
            <w:tcW w:w="624" w:type="dxa"/>
          </w:tcPr>
          <w:p w14:paraId="1E5C7BE9" w14:textId="77777777" w:rsidR="00797BB7" w:rsidRDefault="00797BB7" w:rsidP="00C5096E">
            <w:pPr>
              <w:pStyle w:val="TableText"/>
            </w:pPr>
          </w:p>
        </w:tc>
        <w:tc>
          <w:tcPr>
            <w:tcW w:w="6519" w:type="dxa"/>
            <w:gridSpan w:val="2"/>
          </w:tcPr>
          <w:p w14:paraId="5D0A586F" w14:textId="77777777" w:rsidR="00797BB7" w:rsidRDefault="00797BB7" w:rsidP="00C5096E">
            <w:pPr>
              <w:pStyle w:val="TableBlock"/>
            </w:pPr>
            <w:r w:rsidRPr="002C298B">
              <w:rPr>
                <w:rtl/>
              </w:rPr>
              <w:t>(</w:t>
            </w:r>
            <w:r>
              <w:rPr>
                <w:rFonts w:hint="cs"/>
                <w:rtl/>
              </w:rPr>
              <w:t>3</w:t>
            </w:r>
            <w:r w:rsidRPr="002C298B">
              <w:rPr>
                <w:rtl/>
              </w:rPr>
              <w:t>)</w:t>
            </w:r>
            <w:r w:rsidRPr="002C298B">
              <w:rPr>
                <w:rtl/>
              </w:rPr>
              <w:tab/>
              <w:t>התשלום לזוכה יהיה בסכום השווה להפרש שבין שיעור התשלום החל לגביו לולא ההכנסה, לבין ההכנסה</w:t>
            </w:r>
            <w:r>
              <w:rPr>
                <w:rFonts w:hint="cs"/>
              </w:rPr>
              <w:t xml:space="preserve"> </w:t>
            </w:r>
            <w:r>
              <w:rPr>
                <w:rFonts w:hint="cs"/>
                <w:rtl/>
              </w:rPr>
              <w:t>המחושבת לפי הוראות פסקאות (1) ו-(2)</w:t>
            </w:r>
            <w:r w:rsidRPr="002C298B">
              <w:rPr>
                <w:rtl/>
              </w:rPr>
              <w:t>."</w:t>
            </w:r>
          </w:p>
        </w:tc>
      </w:tr>
    </w:tbl>
    <w:p w14:paraId="7F6961CA" w14:textId="77777777" w:rsidR="002D1EE3" w:rsidRDefault="002D1EE3" w:rsidP="002D1EE3">
      <w:pPr>
        <w:pStyle w:val="HeadDivreiHesber"/>
        <w:rPr>
          <w:rtl/>
        </w:rPr>
      </w:pPr>
      <w:r w:rsidRPr="0027450A">
        <w:rPr>
          <w:rFonts w:hint="cs"/>
          <w:rtl/>
        </w:rPr>
        <w:t>דברי הסבר</w:t>
      </w:r>
    </w:p>
    <w:p w14:paraId="0F76E0C5" w14:textId="77777777" w:rsidR="00797BB7" w:rsidRPr="002610DE" w:rsidRDefault="00797BB7" w:rsidP="006D3C19">
      <w:pPr>
        <w:pStyle w:val="Hesber"/>
        <w:spacing w:line="276" w:lineRule="auto"/>
      </w:pPr>
      <w:r w:rsidRPr="002610DE">
        <w:rPr>
          <w:rtl/>
        </w:rPr>
        <w:t xml:space="preserve">חוק המזונות (הבטחת תשלום), </w:t>
      </w:r>
      <w:proofErr w:type="spellStart"/>
      <w:r w:rsidRPr="002610DE">
        <w:rPr>
          <w:rtl/>
        </w:rPr>
        <w:t>התשל"ב</w:t>
      </w:r>
      <w:proofErr w:type="spellEnd"/>
      <w:r w:rsidRPr="002610DE">
        <w:rPr>
          <w:rtl/>
        </w:rPr>
        <w:t xml:space="preserve">–1972 (להלן – החוק), נועד בעיקרו להבטיח תשלום מזונות לילדים, כאשר נפסק לזכותם של הילדים פסק דין למזונות שאינו מבוצע על ידי החייב בתשלום. לפי הוראות החוק, במקרים אלה המוסד לביטוח לאומי משלם קצבת מזונות חודשית, ופועל במקביל לגבות </w:t>
      </w:r>
      <w:r w:rsidRPr="002610DE">
        <w:rPr>
          <w:rtl/>
        </w:rPr>
        <w:lastRenderedPageBreak/>
        <w:t xml:space="preserve">את פסק הדין מן החייב. זאת על מנת להבטיח כי תשלום מזונות הילדים לא יהיה תלוי ביכולתו של ההורה המשמורן לגבות את תשלום המזונות מן ההורה השני, ועל מנת לחסוך מההורה המשמורן את הצורך לנהל הליכים מתישים ומייגעים במערכת ההוצאה לפועל. </w:t>
      </w:r>
    </w:p>
    <w:p w14:paraId="5E99A208" w14:textId="77777777" w:rsidR="00797BB7" w:rsidRPr="002610DE" w:rsidRDefault="00797BB7" w:rsidP="006D3C19">
      <w:pPr>
        <w:pStyle w:val="Hesber"/>
        <w:spacing w:line="276" w:lineRule="auto"/>
        <w:rPr>
          <w:rtl/>
        </w:rPr>
      </w:pPr>
      <w:r w:rsidRPr="002610DE">
        <w:rPr>
          <w:rtl/>
        </w:rPr>
        <w:t>יצוין כי גם לפי האמנה הבינלאומית לזכויות הילד, מוטלת חובה על המדינות החברות לנקוט צעדים נאותים להבטיח גביית מזונות עבור הילד מאת הוריו או מאת אנשים אחרים הנושאים באחריות כספית לגביו.</w:t>
      </w:r>
    </w:p>
    <w:p w14:paraId="46E9FD26" w14:textId="77777777" w:rsidR="00797BB7" w:rsidRPr="002610DE" w:rsidRDefault="00797BB7" w:rsidP="006D3C19">
      <w:pPr>
        <w:pStyle w:val="Hesber"/>
        <w:spacing w:line="276" w:lineRule="auto"/>
        <w:rPr>
          <w:rtl/>
        </w:rPr>
      </w:pPr>
      <w:r w:rsidRPr="002610DE">
        <w:rPr>
          <w:rtl/>
        </w:rPr>
        <w:t xml:space="preserve">החוק קובע בסעיף 3 כי שיעורי המזונות הם כפי שנקבעו בפסק הדין למזונות או בתקנות, הכול לפי השיעור הנמוך יותר. תקנות המזונות (הבטחת תשלום), </w:t>
      </w:r>
      <w:proofErr w:type="spellStart"/>
      <w:r w:rsidRPr="002610DE">
        <w:rPr>
          <w:rtl/>
        </w:rPr>
        <w:t>התשל"ג</w:t>
      </w:r>
      <w:proofErr w:type="spellEnd"/>
      <w:r w:rsidRPr="002610DE">
        <w:rPr>
          <w:rtl/>
        </w:rPr>
        <w:t xml:space="preserve">–1972, קובעות כי התשלום לזוכה בפסק דין למזונות שיש לו הכנסה יהיה בסכום השווה להפרש שבין שיעור התשלום שחל עליו לפי הקבוע בתקנות, לבין ההכנסה. ההכנסה מחושבת בהתאם להוראות סעיפים 9, 10, ו-12 לחוק הבטחת הכנסה, </w:t>
      </w:r>
      <w:proofErr w:type="spellStart"/>
      <w:r w:rsidRPr="002610DE">
        <w:rPr>
          <w:rtl/>
        </w:rPr>
        <w:t>התשמ"א</w:t>
      </w:r>
      <w:proofErr w:type="spellEnd"/>
      <w:r w:rsidRPr="002610DE">
        <w:rPr>
          <w:rtl/>
        </w:rPr>
        <w:t xml:space="preserve">–1980. </w:t>
      </w:r>
    </w:p>
    <w:p w14:paraId="19A17865" w14:textId="77777777" w:rsidR="00797BB7" w:rsidRPr="002610DE" w:rsidRDefault="00797BB7" w:rsidP="006D3C19">
      <w:pPr>
        <w:pStyle w:val="Hesber"/>
        <w:spacing w:line="276" w:lineRule="auto"/>
        <w:rPr>
          <w:rtl/>
        </w:rPr>
      </w:pPr>
      <w:r w:rsidRPr="002610DE">
        <w:rPr>
          <w:rtl/>
        </w:rPr>
        <w:t xml:space="preserve">כלומר, להורה שיש לו הכנסה מעבר לרף הקבוע לפי החוק, יופחתו תשלומי המזונות שלהם זכאים ילדיו והמשולמים לו לפי החוק.  </w:t>
      </w:r>
    </w:p>
    <w:p w14:paraId="62946925" w14:textId="77777777" w:rsidR="00797BB7" w:rsidRPr="002610DE" w:rsidRDefault="00797BB7" w:rsidP="006D3C19">
      <w:pPr>
        <w:pStyle w:val="Hesber"/>
        <w:spacing w:line="276" w:lineRule="auto"/>
        <w:rPr>
          <w:rtl/>
        </w:rPr>
      </w:pPr>
      <w:r w:rsidRPr="002610DE">
        <w:rPr>
          <w:rtl/>
        </w:rPr>
        <w:t xml:space="preserve">במצב זה יש משום פגיעה חמורה בזכותם של הקטינים הזכאים למזונות, שנקבעה בפסק דין. למעשה, משום שההורה המשמורן הוא בעל הכנסה, נגרעים מן הילדים תשלומי המזונות. התניה זו מהווה מחסום תעסוקתי להורה המשמורן ומעודדת הישארות בבית ואי יציאה לעבודה, בפרט כשיכולת ההשתכרות נמוכה וההוצאות לטיפול בילדים גבוהות. לאי היציאה לשוק העבודה מחירים פסיכולוגיים, חברתיים, חינוכיים וכלכליים כבדים ביותר. כמו כן, וכדי להימנע ממצב של עוני מחפיר, נאלצות אימהות חד הוריות רבות לבחור בעבודה ללא דיווח לרשויות המדינה וללא תלוש שכר, שכן בצורה זו לא ייגרע מהן תשלום המזונות. ראוי לציין כי הנפגעים העיקריים מן המצב הם כל אותם ילדים שנמנעת מהם ההגנה והזכאות שקבע המחוקק עקב קיומו של מבחן ההכנסה הקבוע בתקנות. </w:t>
      </w:r>
    </w:p>
    <w:p w14:paraId="7292A1F4" w14:textId="77777777" w:rsidR="00797BB7" w:rsidRPr="002610DE" w:rsidRDefault="00797BB7" w:rsidP="006D3C19">
      <w:pPr>
        <w:pStyle w:val="Hesber"/>
        <w:spacing w:line="276" w:lineRule="auto"/>
        <w:rPr>
          <w:rtl/>
        </w:rPr>
      </w:pPr>
      <w:r w:rsidRPr="002610DE">
        <w:rPr>
          <w:rtl/>
        </w:rPr>
        <w:t>לפיכך, על מנת שלא לפגוע בילדים וכדי לעודד את ההורה המשמורן להצטרף למעגל העבודה מוצע בזאת לקבוע כי בחישוב שיעור התשלום שישולם לזכאי לא תובא בחשבון הכנסתו של ההורה שאינה עולה על סכום השווה לשכר המינימום. כמו כן, לגבי חלק ההכנסה העולה על שכר המינימום יהיה ניכוי מופחת בהשוואה למצב כיום, וזאת בהתאם לשיעורים המפורטים בהצעת החוק.  כך, מי שישתכר סכום של עד גובה שכר המינימום - 5300 שקלים חדשים, יקבל לפי הצעת החוק את מלוא תשלום המזונות שהוא זכאי להם על פי הקבוע בתקנות. מי שישתכר סכום של 6300 שקלים חדשים (הכנסה עודפת העולה על שכר המינימום ב-  100</w:t>
      </w:r>
      <w:r w:rsidRPr="002610DE">
        <w:rPr>
          <w:rFonts w:hint="cs"/>
          <w:rtl/>
        </w:rPr>
        <w:t>1</w:t>
      </w:r>
      <w:r w:rsidRPr="002610DE">
        <w:rPr>
          <w:rtl/>
        </w:rPr>
        <w:t xml:space="preserve"> שקלים חדשים), וזכאי לגמלה של 2000 שקלים חדשים, יופחתו 200 שקלים חדשים מהתשלום שהוא זכאי לו, והוא יקבל תשלום מזונות בסכום של 1800 שקלים חדשים. מי שישתכר סכום של 9300 שקלים חדשים (הכנסה עודפת העולה על שכר המינימום ב-4000 שקלים חדשים), וזכאי לתשלום מזונות בסכום של 2000 שקלים חדשים, יופחתו 1400 שקלים חדשים מהתשלום שהוא זכאי לו, והוא יקבל תשלום בסכום של 600 שקלים חדשים.</w:t>
      </w:r>
    </w:p>
    <w:p w14:paraId="7E5C14F5" w14:textId="1187CAEC" w:rsidR="00797BB7" w:rsidRPr="002610DE" w:rsidRDefault="00797BB7" w:rsidP="006D3C19">
      <w:pPr>
        <w:pStyle w:val="Hesber"/>
        <w:spacing w:line="276" w:lineRule="auto"/>
        <w:rPr>
          <w:rtl/>
        </w:rPr>
      </w:pPr>
      <w:r w:rsidRPr="002610DE">
        <w:rPr>
          <w:rtl/>
        </w:rPr>
        <w:t>הצע</w:t>
      </w:r>
      <w:r w:rsidRPr="002610DE">
        <w:rPr>
          <w:rFonts w:hint="eastAsia"/>
          <w:rtl/>
        </w:rPr>
        <w:t>ו</w:t>
      </w:r>
      <w:r w:rsidRPr="002610DE">
        <w:rPr>
          <w:rtl/>
        </w:rPr>
        <w:t xml:space="preserve">ת חוק </w:t>
      </w:r>
      <w:r w:rsidRPr="002610DE">
        <w:rPr>
          <w:rFonts w:hint="cs"/>
          <w:rtl/>
        </w:rPr>
        <w:t>דומות בעיקרן</w:t>
      </w:r>
      <w:r w:rsidRPr="002610DE">
        <w:rPr>
          <w:rtl/>
        </w:rPr>
        <w:t xml:space="preserve"> הונח</w:t>
      </w:r>
      <w:r w:rsidRPr="002610DE">
        <w:rPr>
          <w:rFonts w:hint="eastAsia"/>
          <w:rtl/>
        </w:rPr>
        <w:t>ו</w:t>
      </w:r>
      <w:r w:rsidRPr="002610DE">
        <w:rPr>
          <w:rtl/>
        </w:rPr>
        <w:t xml:space="preserve"> על שולחן הכנסת העשרים על ידי חברת הכנסת יפעת שאשא</w:t>
      </w:r>
      <w:r w:rsidRPr="002610DE">
        <w:rPr>
          <w:rFonts w:hint="cs"/>
          <w:rtl/>
        </w:rPr>
        <w:t xml:space="preserve"> </w:t>
      </w:r>
      <w:r w:rsidRPr="002610DE">
        <w:rPr>
          <w:rtl/>
        </w:rPr>
        <w:t>ביטון</w:t>
      </w:r>
      <w:r w:rsidR="00FD73CC">
        <w:rPr>
          <w:rtl/>
        </w:rPr>
        <w:t xml:space="preserve"> וקבוצת חברי הכנסת (פ/2281/20)</w:t>
      </w:r>
      <w:r w:rsidR="00FD73CC">
        <w:rPr>
          <w:rFonts w:hint="cs"/>
          <w:rtl/>
        </w:rPr>
        <w:t xml:space="preserve"> </w:t>
      </w:r>
      <w:r w:rsidR="00965194">
        <w:rPr>
          <w:rFonts w:hint="cs"/>
          <w:rtl/>
        </w:rPr>
        <w:t>ו</w:t>
      </w:r>
      <w:r w:rsidRPr="002610DE">
        <w:rPr>
          <w:rtl/>
        </w:rPr>
        <w:t xml:space="preserve">על שולחן הכנסת העשרים ואחת על ידי חבר הכנסת רועי </w:t>
      </w:r>
      <w:proofErr w:type="spellStart"/>
      <w:r w:rsidRPr="002610DE">
        <w:rPr>
          <w:rtl/>
        </w:rPr>
        <w:t>פולקמן</w:t>
      </w:r>
      <w:proofErr w:type="spellEnd"/>
      <w:r w:rsidRPr="002610DE">
        <w:rPr>
          <w:rtl/>
        </w:rPr>
        <w:t xml:space="preserve"> (פ/493/21)</w:t>
      </w:r>
      <w:r w:rsidR="00CB465C">
        <w:rPr>
          <w:rFonts w:hint="cs"/>
          <w:rtl/>
        </w:rPr>
        <w:t>.</w:t>
      </w:r>
    </w:p>
    <w:p w14:paraId="5371CFA4" w14:textId="27E64722" w:rsidR="00797BB7" w:rsidRDefault="00797BB7" w:rsidP="006D3C19">
      <w:pPr>
        <w:pStyle w:val="Hesber"/>
        <w:spacing w:line="276" w:lineRule="auto"/>
        <w:rPr>
          <w:rtl/>
        </w:rPr>
      </w:pPr>
      <w:r w:rsidRPr="002610DE">
        <w:rPr>
          <w:rFonts w:hint="cs"/>
          <w:rtl/>
        </w:rPr>
        <w:t>הצע</w:t>
      </w:r>
      <w:r w:rsidR="002610DE">
        <w:rPr>
          <w:rFonts w:hint="cs"/>
          <w:rtl/>
        </w:rPr>
        <w:t>ו</w:t>
      </w:r>
      <w:r w:rsidRPr="002610DE">
        <w:rPr>
          <w:rFonts w:hint="cs"/>
          <w:rtl/>
        </w:rPr>
        <w:t>ת חוק זה</w:t>
      </w:r>
      <w:r w:rsidR="002610DE">
        <w:rPr>
          <w:rFonts w:hint="cs"/>
          <w:rtl/>
        </w:rPr>
        <w:t>ות הונחו</w:t>
      </w:r>
      <w:r w:rsidRPr="002610DE">
        <w:rPr>
          <w:rFonts w:hint="cs"/>
          <w:rtl/>
        </w:rPr>
        <w:t xml:space="preserve"> על שולחן הכנסת העשרים ושתי</w:t>
      </w:r>
      <w:r w:rsidR="00965194">
        <w:rPr>
          <w:rFonts w:hint="cs"/>
          <w:rtl/>
        </w:rPr>
        <w:t>י</w:t>
      </w:r>
      <w:r w:rsidRPr="002610DE">
        <w:rPr>
          <w:rFonts w:hint="cs"/>
          <w:rtl/>
        </w:rPr>
        <w:t>ם על ידי חבר הכנסת איציק שמולי (פ/424/22)</w:t>
      </w:r>
      <w:r w:rsidR="002610DE">
        <w:rPr>
          <w:rFonts w:hint="cs"/>
          <w:rtl/>
        </w:rPr>
        <w:t>, על יד</w:t>
      </w:r>
      <w:r w:rsidR="0016060A">
        <w:rPr>
          <w:rFonts w:hint="cs"/>
          <w:rtl/>
        </w:rPr>
        <w:t>י חבר הכנסת מיקי לוי (פ/427/22)</w:t>
      </w:r>
      <w:r w:rsidR="002610DE">
        <w:rPr>
          <w:rFonts w:hint="cs"/>
          <w:rtl/>
        </w:rPr>
        <w:t xml:space="preserve"> </w:t>
      </w:r>
      <w:r w:rsidR="0016060A">
        <w:rPr>
          <w:rFonts w:hint="cs"/>
          <w:rtl/>
        </w:rPr>
        <w:t>ו</w:t>
      </w:r>
      <w:r w:rsidR="002610DE">
        <w:rPr>
          <w:rFonts w:hint="cs"/>
          <w:rtl/>
        </w:rPr>
        <w:t xml:space="preserve">על ידי חברת הכנסת עומר </w:t>
      </w:r>
      <w:proofErr w:type="spellStart"/>
      <w:r w:rsidR="002610DE">
        <w:rPr>
          <w:rFonts w:hint="cs"/>
          <w:rtl/>
        </w:rPr>
        <w:t>ינ</w:t>
      </w:r>
      <w:r w:rsidR="0016060A">
        <w:rPr>
          <w:rFonts w:hint="cs"/>
          <w:rtl/>
        </w:rPr>
        <w:t>קלביץ</w:t>
      </w:r>
      <w:proofErr w:type="spellEnd"/>
      <w:r w:rsidR="0016060A">
        <w:rPr>
          <w:rFonts w:hint="cs"/>
          <w:rtl/>
        </w:rPr>
        <w:t>' (פ/1289/22)</w:t>
      </w:r>
      <w:r w:rsidR="00965194">
        <w:rPr>
          <w:rFonts w:hint="cs"/>
          <w:rtl/>
        </w:rPr>
        <w:t>;</w:t>
      </w:r>
      <w:r w:rsidR="00F2198E">
        <w:rPr>
          <w:rFonts w:hint="cs"/>
          <w:rtl/>
        </w:rPr>
        <w:t xml:space="preserve"> ועל שולחן הכנסת העשרים </w:t>
      </w:r>
      <w:r w:rsidR="00F2198E" w:rsidRPr="00965194">
        <w:rPr>
          <w:rFonts w:hint="cs"/>
          <w:rtl/>
        </w:rPr>
        <w:t xml:space="preserve">ושלוש </w:t>
      </w:r>
      <w:r w:rsidR="00CB465C" w:rsidRPr="00965194">
        <w:rPr>
          <w:rFonts w:hint="cs"/>
          <w:rtl/>
        </w:rPr>
        <w:t xml:space="preserve">על ידי חברת הכנסת עומר </w:t>
      </w:r>
      <w:proofErr w:type="spellStart"/>
      <w:r w:rsidR="00CB465C" w:rsidRPr="00965194">
        <w:rPr>
          <w:rFonts w:hint="cs"/>
          <w:rtl/>
        </w:rPr>
        <w:t>ינקלביץ</w:t>
      </w:r>
      <w:proofErr w:type="spellEnd"/>
      <w:r w:rsidR="00CB465C" w:rsidRPr="00965194">
        <w:rPr>
          <w:rFonts w:hint="cs"/>
          <w:rtl/>
        </w:rPr>
        <w:t>' (</w:t>
      </w:r>
      <w:r w:rsidR="00965194" w:rsidRPr="00965194">
        <w:rPr>
          <w:rFonts w:hint="cs"/>
          <w:rtl/>
        </w:rPr>
        <w:t>פ/653/23)</w:t>
      </w:r>
      <w:r w:rsidR="00CB465C" w:rsidRPr="00965194">
        <w:rPr>
          <w:rFonts w:hint="cs"/>
          <w:rtl/>
        </w:rPr>
        <w:t xml:space="preserve"> ו</w:t>
      </w:r>
      <w:r w:rsidR="00F2198E" w:rsidRPr="00965194">
        <w:rPr>
          <w:rFonts w:hint="cs"/>
          <w:rtl/>
        </w:rPr>
        <w:t>על ידי חבר הכנסת מיקי לוי (</w:t>
      </w:r>
      <w:r w:rsidR="00965194" w:rsidRPr="00965194">
        <w:rPr>
          <w:rFonts w:hint="cs"/>
          <w:rtl/>
        </w:rPr>
        <w:t>פ/699/23</w:t>
      </w:r>
      <w:r w:rsidR="00F2198E" w:rsidRPr="00965194">
        <w:rPr>
          <w:rFonts w:hint="cs"/>
          <w:rtl/>
        </w:rPr>
        <w:t>)</w:t>
      </w:r>
      <w:r w:rsidR="003D33BB" w:rsidRPr="00965194">
        <w:rPr>
          <w:rFonts w:hint="cs"/>
          <w:rtl/>
        </w:rPr>
        <w:t>.</w:t>
      </w:r>
    </w:p>
    <w:p w14:paraId="062FB68B" w14:textId="77777777" w:rsidR="00965194" w:rsidRDefault="00965194" w:rsidP="006D3C19">
      <w:pPr>
        <w:pStyle w:val="Hesber"/>
        <w:spacing w:line="276" w:lineRule="auto"/>
        <w:rPr>
          <w:rtl/>
        </w:rPr>
      </w:pPr>
    </w:p>
    <w:p w14:paraId="0D73FAC8" w14:textId="77777777" w:rsidR="00965194" w:rsidRPr="00D73212" w:rsidRDefault="00965194" w:rsidP="006D3C19">
      <w:pPr>
        <w:pStyle w:val="Hesber"/>
        <w:spacing w:line="276" w:lineRule="auto"/>
        <w:rPr>
          <w:color w:val="auto"/>
          <w:rtl/>
          <w:lang w:eastAsia="en-US"/>
        </w:rPr>
      </w:pPr>
      <w:r w:rsidRPr="00D73212">
        <w:rPr>
          <w:color w:val="auto"/>
          <w:rtl/>
          <w:lang w:eastAsia="en-US"/>
        </w:rPr>
        <w:t>---------------------------------</w:t>
      </w:r>
    </w:p>
    <w:p w14:paraId="3568822E" w14:textId="77777777" w:rsidR="00965194" w:rsidRPr="00D73212" w:rsidRDefault="00965194" w:rsidP="006D3C19">
      <w:pPr>
        <w:pStyle w:val="Hesber"/>
        <w:spacing w:line="276"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556E90B" w14:textId="77777777" w:rsidR="00965194" w:rsidRPr="00D73212" w:rsidRDefault="00965194" w:rsidP="006D3C19">
      <w:pPr>
        <w:pStyle w:val="Hesber"/>
        <w:spacing w:line="276"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23705AA" w14:textId="77777777" w:rsidR="00965194" w:rsidRPr="00317312" w:rsidRDefault="00965194" w:rsidP="006D3C19">
      <w:pPr>
        <w:pStyle w:val="Hesber"/>
        <w:spacing w:line="276" w:lineRule="auto"/>
      </w:pPr>
      <w:r>
        <w:rPr>
          <w:rFonts w:hint="cs"/>
          <w:color w:val="auto"/>
          <w:rtl/>
          <w:lang w:eastAsia="en-US"/>
        </w:rPr>
        <w:t xml:space="preserve">י"ז באייר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 xml:space="preserve">20  </w:t>
      </w:r>
      <w:bookmarkStart w:id="6" w:name="_GoBack"/>
      <w:bookmarkEnd w:id="6"/>
    </w:p>
    <w:p w14:paraId="6F7A951C" w14:textId="77777777" w:rsidR="00965194" w:rsidRPr="00965194" w:rsidRDefault="00965194" w:rsidP="00965194">
      <w:pPr>
        <w:pStyle w:val="Hesber"/>
        <w:rPr>
          <w:rtl/>
        </w:rPr>
      </w:pPr>
    </w:p>
    <w:p w14:paraId="7F6961CB" w14:textId="77777777" w:rsidR="00E13C27" w:rsidRPr="002610DE" w:rsidRDefault="00E13C27" w:rsidP="002610DE">
      <w:pPr>
        <w:pStyle w:val="Hesber"/>
        <w:rPr>
          <w:rtl/>
        </w:rPr>
      </w:pPr>
    </w:p>
    <w:sectPr w:rsidR="00E13C27" w:rsidRPr="002610DE"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66B01BBA"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D3C19">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E8472B5" w14:textId="77777777" w:rsidR="00797BB7" w:rsidRDefault="00797BB7" w:rsidP="00797BB7">
      <w:pPr>
        <w:pStyle w:val="a4"/>
        <w:rPr>
          <w:rtl/>
        </w:rPr>
      </w:pPr>
      <w:r>
        <w:rPr>
          <w:rStyle w:val="a6"/>
        </w:rPr>
        <w:footnoteRef/>
      </w:r>
      <w:r>
        <w:rPr>
          <w:sz w:val="20"/>
          <w:rtl/>
        </w:rPr>
        <w:t xml:space="preserve"> ס"ח </w:t>
      </w:r>
      <w:proofErr w:type="spellStart"/>
      <w:r>
        <w:rPr>
          <w:sz w:val="20"/>
          <w:rtl/>
        </w:rPr>
        <w:t>התשל"ב</w:t>
      </w:r>
      <w:proofErr w:type="spellEnd"/>
      <w:r>
        <w:rPr>
          <w:sz w:val="20"/>
          <w:rtl/>
        </w:rPr>
        <w:t>, עמ' 87.</w:t>
      </w:r>
    </w:p>
  </w:footnote>
  <w:footnote w:id="3">
    <w:p w14:paraId="2A3143D3" w14:textId="77777777" w:rsidR="00797BB7" w:rsidRDefault="00797BB7" w:rsidP="00797BB7">
      <w:pPr>
        <w:pStyle w:val="a4"/>
      </w:pPr>
      <w:r>
        <w:rPr>
          <w:rStyle w:val="a6"/>
        </w:rPr>
        <w:footnoteRef/>
      </w:r>
      <w:r>
        <w:rPr>
          <w:rtl/>
        </w:rPr>
        <w:t xml:space="preserve"> </w:t>
      </w:r>
      <w:r>
        <w:rPr>
          <w:rFonts w:hint="cs"/>
          <w:rtl/>
        </w:rPr>
        <w:t xml:space="preserve">ס"ח </w:t>
      </w:r>
      <w:proofErr w:type="spellStart"/>
      <w:r>
        <w:rPr>
          <w:rFonts w:hint="cs"/>
          <w:rtl/>
        </w:rPr>
        <w:t>התשמ"ז</w:t>
      </w:r>
      <w:proofErr w:type="spellEnd"/>
      <w:r>
        <w:rPr>
          <w:rFonts w:hint="cs"/>
          <w:rtl/>
        </w:rPr>
        <w:t>, עמ'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6060A"/>
    <w:rsid w:val="001A0623"/>
    <w:rsid w:val="001C23B0"/>
    <w:rsid w:val="001D7AAF"/>
    <w:rsid w:val="00203A7F"/>
    <w:rsid w:val="0021633A"/>
    <w:rsid w:val="002200A1"/>
    <w:rsid w:val="002362BF"/>
    <w:rsid w:val="00241B97"/>
    <w:rsid w:val="002425D1"/>
    <w:rsid w:val="00246756"/>
    <w:rsid w:val="00251E58"/>
    <w:rsid w:val="00254605"/>
    <w:rsid w:val="002610DE"/>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33BB"/>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D3C19"/>
    <w:rsid w:val="0070601E"/>
    <w:rsid w:val="00712C72"/>
    <w:rsid w:val="00735FE9"/>
    <w:rsid w:val="00763CAA"/>
    <w:rsid w:val="00765F66"/>
    <w:rsid w:val="0078664F"/>
    <w:rsid w:val="00797BB7"/>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5194"/>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B465C"/>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198E"/>
    <w:rsid w:val="00F628D6"/>
    <w:rsid w:val="00F67051"/>
    <w:rsid w:val="00F86A1E"/>
    <w:rsid w:val="00FA5E88"/>
    <w:rsid w:val="00FD73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877E378-7820-43E2-B4A8-AE77CE92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797BB7"/>
    <w:rPr>
      <w:rFonts w:ascii="Arial" w:eastAsia="Arial Unicode MS" w:hAnsi="Arial" w:cs="David"/>
      <w:snapToGrid w:val="0"/>
      <w:color w:val="000000"/>
      <w:sz w:val="14"/>
      <w:lang w:eastAsia="ja-JP"/>
    </w:rPr>
  </w:style>
  <w:style w:type="table" w:customStyle="1" w:styleId="ae">
    <w:name w:val="טבלת חקיקה"/>
    <w:basedOn w:val="a1"/>
    <w:uiPriority w:val="99"/>
    <w:rsid w:val="00797BB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EC4FF1D7-524B-427A-AB98-9167F94A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8873F0-7451-46C3-8DE6-527C3930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658</Words>
  <Characters>3756</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12</cp:revision>
  <cp:lastPrinted>2013-07-04T08:25:00Z</cp:lastPrinted>
  <dcterms:created xsi:type="dcterms:W3CDTF">2015-04-20T09:58:00Z</dcterms:created>
  <dcterms:modified xsi:type="dcterms:W3CDTF">2020-05-07T07:21:00Z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2086521</vt:r8>
  </property>
</Properties>
</file>