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2086460</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b/>
          <w:bCs/>
          <w:sz w:val="26"/>
          <w:szCs w:val="26"/>
          <w:rtl/>
        </w:rPr>
      </w:pPr>
    </w:p>
    <w:p w14:paraId="7F6961A6" w14:textId="77777777" w:rsidR="00E13C27" w:rsidRDefault="008F6665" w:rsidP="00930EFE">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איציק שמולי</w:t>
      </w:r>
      <w:bookmarkEnd w:id="3"/>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6322094F" w:rsidR="00E13C27" w:rsidRPr="00E06736" w:rsidRDefault="00904591" w:rsidP="00E87FE8">
      <w:pPr>
        <w:pStyle w:val="David"/>
        <w:spacing w:line="240" w:lineRule="auto"/>
        <w:ind w:left="6424" w:firstLine="56"/>
        <w:rPr>
          <w:rtl/>
        </w:rPr>
      </w:pPr>
      <w:bookmarkStart w:id="4" w:name="Private_Number"/>
      <w:r>
        <w:rPr>
          <w:rFonts w:hint="cs"/>
          <w:rtl/>
        </w:rPr>
        <w:t>פ/703/23</w:t>
      </w:r>
      <w:bookmarkEnd w:id="4"/>
    </w:p>
    <w:p w14:paraId="7F6961AC" w14:textId="77777777" w:rsidR="00E13C27" w:rsidRDefault="00E13C27" w:rsidP="00E13C27">
      <w:pPr>
        <w:ind w:left="2880" w:firstLine="720"/>
        <w:rPr>
          <w:sz w:val="26"/>
          <w:szCs w:val="26"/>
          <w:rtl/>
        </w:rPr>
      </w:pPr>
    </w:p>
    <w:p w14:paraId="7F6961AD" w14:textId="415B414B" w:rsidR="00E13C27" w:rsidRPr="00F67051" w:rsidRDefault="00A443CF" w:rsidP="007E3069">
      <w:pPr>
        <w:pStyle w:val="HeadHatzaotHok"/>
        <w:rPr>
          <w:rtl/>
        </w:rPr>
      </w:pPr>
      <w:bookmarkStart w:id="5" w:name="LGS_Subject"/>
      <w:r>
        <w:rPr>
          <w:rFonts w:hint="cs"/>
          <w:rtl/>
        </w:rPr>
        <w:t xml:space="preserve">הצעת חוק הביטוח הלאומי (תיקון </w:t>
      </w:r>
      <w:r w:rsidR="007E3069" w:rsidRPr="00BD5B1B">
        <w:rPr>
          <w:rtl/>
        </w:rPr>
        <w:t>–</w:t>
      </w:r>
      <w:r>
        <w:rPr>
          <w:rFonts w:hint="cs"/>
          <w:rtl/>
        </w:rPr>
        <w:t xml:space="preserve"> דמי אבטלה למי שנמצא בהכשרה מקצועית), התש"ף</w:t>
      </w:r>
      <w:r w:rsidR="007E3069" w:rsidRPr="00BD5B1B">
        <w:rPr>
          <w:rtl/>
        </w:rPr>
        <w:t>–</w:t>
      </w:r>
      <w:r>
        <w:rPr>
          <w:rFonts w:hint="cs"/>
          <w:rtl/>
        </w:rPr>
        <w:t>2020</w:t>
      </w:r>
      <w:bookmarkEnd w:id="5"/>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19"/>
      </w:tblGrid>
      <w:tr w:rsidR="003B032C" w14:paraId="4EE730FA" w14:textId="77777777" w:rsidTr="00E87FE8">
        <w:trPr>
          <w:cantSplit/>
        </w:trPr>
        <w:tc>
          <w:tcPr>
            <w:tcW w:w="1871" w:type="dxa"/>
            <w:hideMark/>
          </w:tcPr>
          <w:p w14:paraId="1858CB73" w14:textId="77777777" w:rsidR="003B032C" w:rsidRDefault="003B032C" w:rsidP="001D6081">
            <w:pPr>
              <w:pStyle w:val="TableSideHeading"/>
              <w:keepLines w:val="0"/>
            </w:pPr>
            <w:r>
              <w:rPr>
                <w:rtl/>
              </w:rPr>
              <w:t>תיקון סעיף 173</w:t>
            </w:r>
          </w:p>
        </w:tc>
        <w:tc>
          <w:tcPr>
            <w:tcW w:w="624" w:type="dxa"/>
            <w:hideMark/>
          </w:tcPr>
          <w:p w14:paraId="2181BA8B" w14:textId="77777777" w:rsidR="003B032C" w:rsidRDefault="003B032C" w:rsidP="001D6081">
            <w:pPr>
              <w:pStyle w:val="TableText"/>
              <w:keepLines w:val="0"/>
              <w:rPr>
                <w:rtl/>
              </w:rPr>
            </w:pPr>
            <w:r>
              <w:rPr>
                <w:rtl/>
              </w:rPr>
              <w:t>1.</w:t>
            </w:r>
          </w:p>
        </w:tc>
        <w:tc>
          <w:tcPr>
            <w:tcW w:w="7143" w:type="dxa"/>
            <w:gridSpan w:val="2"/>
            <w:hideMark/>
          </w:tcPr>
          <w:p w14:paraId="08DE3014" w14:textId="77777777" w:rsidR="003B032C" w:rsidRDefault="003B032C" w:rsidP="00E87FE8">
            <w:pPr>
              <w:pStyle w:val="TableBlock"/>
              <w:rPr>
                <w:rtl/>
              </w:rPr>
            </w:pPr>
            <w:r>
              <w:rPr>
                <w:rtl/>
              </w:rPr>
              <w:t>בחוק הביטוח הלאומי [נוסח משולב] התשנ"ה–1995</w:t>
            </w:r>
            <w:r w:rsidRPr="00E87FE8">
              <w:rPr>
                <w:rStyle w:val="a6"/>
                <w:rFonts w:ascii="David" w:hAnsi="David"/>
                <w:sz w:val="26"/>
                <w:rtl/>
              </w:rPr>
              <w:footnoteReference w:id="2"/>
            </w:r>
            <w:r>
              <w:rPr>
                <w:rtl/>
              </w:rPr>
              <w:t>, בסעיף 173 –</w:t>
            </w:r>
          </w:p>
        </w:tc>
      </w:tr>
      <w:tr w:rsidR="003B032C" w14:paraId="7C21F5EC" w14:textId="77777777" w:rsidTr="00E87FE8">
        <w:trPr>
          <w:cantSplit/>
        </w:trPr>
        <w:tc>
          <w:tcPr>
            <w:tcW w:w="1871" w:type="dxa"/>
          </w:tcPr>
          <w:p w14:paraId="164ECC20" w14:textId="77777777" w:rsidR="003B032C" w:rsidRDefault="003B032C" w:rsidP="001D6081">
            <w:pPr>
              <w:pStyle w:val="TableSideHeading"/>
              <w:rPr>
                <w:rtl/>
              </w:rPr>
            </w:pPr>
          </w:p>
        </w:tc>
        <w:tc>
          <w:tcPr>
            <w:tcW w:w="624" w:type="dxa"/>
          </w:tcPr>
          <w:p w14:paraId="67F9B147" w14:textId="77777777" w:rsidR="003B032C" w:rsidRDefault="003B032C" w:rsidP="001D6081">
            <w:pPr>
              <w:pStyle w:val="TableText"/>
            </w:pPr>
          </w:p>
        </w:tc>
        <w:tc>
          <w:tcPr>
            <w:tcW w:w="7143" w:type="dxa"/>
            <w:gridSpan w:val="2"/>
            <w:hideMark/>
          </w:tcPr>
          <w:p w14:paraId="7112DFD6" w14:textId="77777777" w:rsidR="003B032C" w:rsidRPr="00BD5B1B" w:rsidRDefault="003B032C" w:rsidP="00E87FE8">
            <w:pPr>
              <w:pStyle w:val="TableBlock"/>
            </w:pPr>
            <w:r w:rsidRPr="00BD5B1B">
              <w:rPr>
                <w:rtl/>
              </w:rPr>
              <w:t>(א)</w:t>
            </w:r>
            <w:r w:rsidRPr="00BD5B1B">
              <w:rPr>
                <w:rtl/>
              </w:rPr>
              <w:tab/>
              <w:t>בסעיף קטן (א) –</w:t>
            </w:r>
          </w:p>
        </w:tc>
      </w:tr>
      <w:tr w:rsidR="003B032C" w14:paraId="73540559" w14:textId="77777777" w:rsidTr="00E87FE8">
        <w:trPr>
          <w:cantSplit/>
        </w:trPr>
        <w:tc>
          <w:tcPr>
            <w:tcW w:w="1871" w:type="dxa"/>
          </w:tcPr>
          <w:p w14:paraId="3DE44F34" w14:textId="77777777" w:rsidR="003B032C" w:rsidRDefault="003B032C" w:rsidP="001D6081">
            <w:pPr>
              <w:pStyle w:val="TableSideHeading"/>
              <w:rPr>
                <w:rtl/>
              </w:rPr>
            </w:pPr>
          </w:p>
        </w:tc>
        <w:tc>
          <w:tcPr>
            <w:tcW w:w="624" w:type="dxa"/>
          </w:tcPr>
          <w:p w14:paraId="7ABF4A17" w14:textId="77777777" w:rsidR="003B032C" w:rsidRDefault="003B032C" w:rsidP="001D6081">
            <w:pPr>
              <w:pStyle w:val="TableText"/>
            </w:pPr>
          </w:p>
        </w:tc>
        <w:tc>
          <w:tcPr>
            <w:tcW w:w="624" w:type="dxa"/>
          </w:tcPr>
          <w:p w14:paraId="178A4A25" w14:textId="77777777" w:rsidR="003B032C" w:rsidRDefault="003B032C" w:rsidP="001D6081">
            <w:pPr>
              <w:pStyle w:val="TableText"/>
            </w:pPr>
          </w:p>
        </w:tc>
        <w:tc>
          <w:tcPr>
            <w:tcW w:w="6519" w:type="dxa"/>
            <w:hideMark/>
          </w:tcPr>
          <w:p w14:paraId="2F4B3599" w14:textId="77777777" w:rsidR="003B032C" w:rsidRDefault="003B032C" w:rsidP="00E87FE8">
            <w:pPr>
              <w:pStyle w:val="TableBlock"/>
            </w:pPr>
            <w:r>
              <w:rPr>
                <w:rtl/>
              </w:rPr>
              <w:t>(1)</w:t>
            </w:r>
            <w:r>
              <w:rPr>
                <w:rtl/>
              </w:rPr>
              <w:tab/>
              <w:t>בפסקה (1), במקום "70% מדמי" יבוא "דמי";</w:t>
            </w:r>
          </w:p>
        </w:tc>
      </w:tr>
      <w:tr w:rsidR="003B032C" w14:paraId="56F113EB" w14:textId="77777777" w:rsidTr="00E87FE8">
        <w:trPr>
          <w:cantSplit/>
        </w:trPr>
        <w:tc>
          <w:tcPr>
            <w:tcW w:w="1871" w:type="dxa"/>
          </w:tcPr>
          <w:p w14:paraId="795E0E35" w14:textId="77777777" w:rsidR="003B032C" w:rsidRDefault="003B032C" w:rsidP="001D6081">
            <w:pPr>
              <w:pStyle w:val="TableSideHeading"/>
              <w:rPr>
                <w:rtl/>
              </w:rPr>
            </w:pPr>
          </w:p>
        </w:tc>
        <w:tc>
          <w:tcPr>
            <w:tcW w:w="624" w:type="dxa"/>
          </w:tcPr>
          <w:p w14:paraId="2853F03B" w14:textId="77777777" w:rsidR="003B032C" w:rsidRDefault="003B032C" w:rsidP="001D6081">
            <w:pPr>
              <w:pStyle w:val="TableText"/>
              <w:rPr>
                <w:rtl/>
              </w:rPr>
            </w:pPr>
          </w:p>
        </w:tc>
        <w:tc>
          <w:tcPr>
            <w:tcW w:w="624" w:type="dxa"/>
          </w:tcPr>
          <w:p w14:paraId="3733CD58" w14:textId="77777777" w:rsidR="003B032C" w:rsidRDefault="003B032C" w:rsidP="001D6081">
            <w:pPr>
              <w:pStyle w:val="TableText"/>
            </w:pPr>
          </w:p>
        </w:tc>
        <w:tc>
          <w:tcPr>
            <w:tcW w:w="6519" w:type="dxa"/>
            <w:hideMark/>
          </w:tcPr>
          <w:p w14:paraId="59596E80" w14:textId="77777777" w:rsidR="003B032C" w:rsidRDefault="003B032C" w:rsidP="00E87FE8">
            <w:pPr>
              <w:pStyle w:val="TableBlock"/>
            </w:pPr>
            <w:r>
              <w:rPr>
                <w:rtl/>
              </w:rPr>
              <w:t>(2)</w:t>
            </w:r>
            <w:r>
              <w:rPr>
                <w:rtl/>
              </w:rPr>
              <w:tab/>
              <w:t>פסקה (1א) – תימחק;</w:t>
            </w:r>
          </w:p>
        </w:tc>
      </w:tr>
      <w:tr w:rsidR="003B032C" w14:paraId="2CB2FE7F" w14:textId="77777777" w:rsidTr="00E87FE8">
        <w:trPr>
          <w:cantSplit/>
        </w:trPr>
        <w:tc>
          <w:tcPr>
            <w:tcW w:w="1871" w:type="dxa"/>
          </w:tcPr>
          <w:p w14:paraId="7995FC07" w14:textId="77777777" w:rsidR="003B032C" w:rsidRDefault="003B032C" w:rsidP="001D6081">
            <w:pPr>
              <w:pStyle w:val="TableSideHeading"/>
              <w:rPr>
                <w:rtl/>
              </w:rPr>
            </w:pPr>
          </w:p>
        </w:tc>
        <w:tc>
          <w:tcPr>
            <w:tcW w:w="624" w:type="dxa"/>
          </w:tcPr>
          <w:p w14:paraId="09F29AB2" w14:textId="77777777" w:rsidR="003B032C" w:rsidRDefault="003B032C" w:rsidP="001D6081">
            <w:pPr>
              <w:pStyle w:val="TableText"/>
              <w:rPr>
                <w:rtl/>
              </w:rPr>
            </w:pPr>
          </w:p>
        </w:tc>
        <w:tc>
          <w:tcPr>
            <w:tcW w:w="624" w:type="dxa"/>
          </w:tcPr>
          <w:p w14:paraId="3B2565C6" w14:textId="77777777" w:rsidR="003B032C" w:rsidRDefault="003B032C" w:rsidP="001D6081">
            <w:pPr>
              <w:pStyle w:val="TableText"/>
            </w:pPr>
          </w:p>
        </w:tc>
        <w:tc>
          <w:tcPr>
            <w:tcW w:w="6519" w:type="dxa"/>
            <w:hideMark/>
          </w:tcPr>
          <w:p w14:paraId="24BE1EDE" w14:textId="77777777" w:rsidR="003B032C" w:rsidRDefault="003B032C" w:rsidP="00E87FE8">
            <w:pPr>
              <w:pStyle w:val="TableBlock"/>
            </w:pPr>
            <w:r>
              <w:rPr>
                <w:rtl/>
              </w:rPr>
              <w:t>(3)</w:t>
            </w:r>
            <w:r>
              <w:rPr>
                <w:rtl/>
              </w:rPr>
              <w:tab/>
              <w:t>בפסקה (3), במקום "בפסקאות (1) או (1א)" יבוא "בפסקה (1)".</w:t>
            </w:r>
          </w:p>
        </w:tc>
      </w:tr>
      <w:tr w:rsidR="003B032C" w14:paraId="1925F63B" w14:textId="77777777" w:rsidTr="00E87FE8">
        <w:trPr>
          <w:cantSplit/>
        </w:trPr>
        <w:tc>
          <w:tcPr>
            <w:tcW w:w="1871" w:type="dxa"/>
          </w:tcPr>
          <w:p w14:paraId="69DA0B6D" w14:textId="77777777" w:rsidR="003B032C" w:rsidRDefault="003B032C" w:rsidP="001D6081">
            <w:pPr>
              <w:pStyle w:val="TableSideHeading"/>
              <w:rPr>
                <w:rtl/>
              </w:rPr>
            </w:pPr>
          </w:p>
        </w:tc>
        <w:tc>
          <w:tcPr>
            <w:tcW w:w="624" w:type="dxa"/>
          </w:tcPr>
          <w:p w14:paraId="6CF544C3" w14:textId="77777777" w:rsidR="003B032C" w:rsidRDefault="003B032C" w:rsidP="001D6081">
            <w:pPr>
              <w:pStyle w:val="TableText"/>
              <w:rPr>
                <w:rtl/>
              </w:rPr>
            </w:pPr>
          </w:p>
        </w:tc>
        <w:tc>
          <w:tcPr>
            <w:tcW w:w="7143" w:type="dxa"/>
            <w:gridSpan w:val="2"/>
            <w:hideMark/>
          </w:tcPr>
          <w:p w14:paraId="185BE9D3" w14:textId="77777777" w:rsidR="003B032C" w:rsidRDefault="003B032C" w:rsidP="00E87FE8">
            <w:pPr>
              <w:pStyle w:val="TableBlock"/>
            </w:pPr>
            <w:r>
              <w:rPr>
                <w:rtl/>
              </w:rPr>
              <w:t>(ב)</w:t>
            </w:r>
            <w:r>
              <w:rPr>
                <w:rtl/>
              </w:rPr>
              <w:tab/>
              <w:t>בסעיף קטן (ג), במקום האמור בו יבוא "הוראות סעיפים 168, 171, 171א, ו-172 לא יחולו על מי שמקבל דמי אבטלה לפי סעיף זה ובלבד שהתחיל את ההכשרה המקצועית בתוך 6 חודשים מהתאריך הקובע".</w:t>
            </w:r>
          </w:p>
        </w:tc>
      </w:tr>
      <w:tr w:rsidR="003B032C" w14:paraId="2BD73F36" w14:textId="77777777" w:rsidTr="00E87FE8">
        <w:trPr>
          <w:cantSplit/>
        </w:trPr>
        <w:tc>
          <w:tcPr>
            <w:tcW w:w="1871" w:type="dxa"/>
            <w:hideMark/>
          </w:tcPr>
          <w:p w14:paraId="60640036" w14:textId="77777777" w:rsidR="003B032C" w:rsidRDefault="003B032C" w:rsidP="001D6081">
            <w:pPr>
              <w:pStyle w:val="TableSideHeading"/>
              <w:rPr>
                <w:rtl/>
              </w:rPr>
            </w:pPr>
            <w:r>
              <w:rPr>
                <w:rtl/>
              </w:rPr>
              <w:t xml:space="preserve">תחילה </w:t>
            </w:r>
          </w:p>
        </w:tc>
        <w:tc>
          <w:tcPr>
            <w:tcW w:w="624" w:type="dxa"/>
            <w:hideMark/>
          </w:tcPr>
          <w:p w14:paraId="7768FC18" w14:textId="77777777" w:rsidR="003B032C" w:rsidRDefault="003B032C" w:rsidP="001D6081">
            <w:pPr>
              <w:pStyle w:val="TableText"/>
              <w:rPr>
                <w:rtl/>
              </w:rPr>
            </w:pPr>
            <w:r>
              <w:rPr>
                <w:rtl/>
              </w:rPr>
              <w:t>2.</w:t>
            </w:r>
          </w:p>
        </w:tc>
        <w:tc>
          <w:tcPr>
            <w:tcW w:w="7143" w:type="dxa"/>
            <w:gridSpan w:val="2"/>
            <w:hideMark/>
          </w:tcPr>
          <w:p w14:paraId="119C14D1" w14:textId="77777777" w:rsidR="003B032C" w:rsidRDefault="003B032C" w:rsidP="00E87FE8">
            <w:pPr>
              <w:pStyle w:val="TableBlock"/>
              <w:rPr>
                <w:rtl/>
              </w:rPr>
            </w:pPr>
            <w:r>
              <w:rPr>
                <w:rtl/>
              </w:rPr>
              <w:t>תחילתו של חוק זה ב-1 בחודש שלאחר פרסומו.</w:t>
            </w:r>
          </w:p>
        </w:tc>
      </w:tr>
    </w:tbl>
    <w:p w14:paraId="7F6961CA" w14:textId="77777777" w:rsidR="002D1EE3" w:rsidRDefault="002D1EE3" w:rsidP="002D1EE3">
      <w:pPr>
        <w:pStyle w:val="HeadDivreiHesber"/>
        <w:rPr>
          <w:rtl/>
        </w:rPr>
      </w:pPr>
      <w:r w:rsidRPr="0027450A">
        <w:rPr>
          <w:rFonts w:hint="cs"/>
          <w:rtl/>
        </w:rPr>
        <w:t>דברי הסבר</w:t>
      </w:r>
    </w:p>
    <w:p w14:paraId="5CCAC35D" w14:textId="77777777" w:rsidR="003B032C" w:rsidRDefault="003B032C" w:rsidP="00E87FE8">
      <w:pPr>
        <w:pStyle w:val="Hesber"/>
      </w:pPr>
      <w:r>
        <w:rPr>
          <w:rtl/>
        </w:rPr>
        <w:t>דמי אבטלה משתלמים למי שצבר את תקופה האכשרה הקבועה לגביו בחוק</w:t>
      </w:r>
      <w:r>
        <w:rPr>
          <w:rFonts w:hint="cs"/>
          <w:rtl/>
        </w:rPr>
        <w:t xml:space="preserve"> הביטוח הלאומי [נוסח משולב], התשנ"ה</w:t>
      </w:r>
      <w:r>
        <w:rPr>
          <w:rFonts w:hint="eastAsia"/>
          <w:rtl/>
        </w:rPr>
        <w:t>–</w:t>
      </w:r>
      <w:r>
        <w:rPr>
          <w:rFonts w:hint="cs"/>
          <w:rtl/>
        </w:rPr>
        <w:t xml:space="preserve">1995 (להלן </w:t>
      </w:r>
      <w:r>
        <w:rPr>
          <w:rtl/>
        </w:rPr>
        <w:t>–</w:t>
      </w:r>
      <w:r>
        <w:rPr>
          <w:rFonts w:hint="cs"/>
          <w:rtl/>
        </w:rPr>
        <w:t xml:space="preserve"> החוק)</w:t>
      </w:r>
      <w:r>
        <w:rPr>
          <w:rtl/>
        </w:rPr>
        <w:t xml:space="preserve">, ובלבד שטרם חלפה שנה מהיום שהפך למובטל (להלן – שנת הזכאות), וזאת מכיוון שדמי האבטלה נועדו להוות פתרון קצר מועד, תקופת גישור בין מקום עבודה אחד למשנהו. </w:t>
      </w:r>
    </w:p>
    <w:p w14:paraId="69B5C1BE" w14:textId="77777777" w:rsidR="003B032C" w:rsidRDefault="003B032C" w:rsidP="003B032C">
      <w:pPr>
        <w:pStyle w:val="Hesber"/>
        <w:rPr>
          <w:rtl/>
        </w:rPr>
      </w:pPr>
      <w:r>
        <w:rPr>
          <w:rtl/>
        </w:rPr>
        <w:t>סעיף 173 לחוק עוסק בזכות לדמי אבטלה לגבי מי שבמהלך שנת הזכאות הופנה להכשרה מקצועית.</w:t>
      </w:r>
    </w:p>
    <w:p w14:paraId="7CD672A2" w14:textId="77777777" w:rsidR="003B032C" w:rsidRDefault="003B032C" w:rsidP="003B032C">
      <w:pPr>
        <w:pStyle w:val="Hesber"/>
        <w:rPr>
          <w:rtl/>
        </w:rPr>
      </w:pPr>
      <w:r>
        <w:rPr>
          <w:rtl/>
        </w:rPr>
        <w:t>בעבר, מובטל שנשלח להכשרה מקצועית כאמור, היה זכאי להמשיך ולקבל דמי אבטלה גם אם כבר תמה שנת הזכאות. זאת, כדי לאפשר למובטל כאמור לסיים את ההכשרה המקצועית שהחל בה.</w:t>
      </w:r>
    </w:p>
    <w:p w14:paraId="49F89E2C" w14:textId="77777777" w:rsidR="003B032C" w:rsidRDefault="003B032C" w:rsidP="003B032C">
      <w:pPr>
        <w:pStyle w:val="Hesber"/>
        <w:rPr>
          <w:rtl/>
        </w:rPr>
      </w:pPr>
      <w:r>
        <w:rPr>
          <w:rtl/>
        </w:rPr>
        <w:t>בשנת 2002 תוקן החוק במסגרת חוק ההסדרים לאותה שנה, באופן שהרע את תנאי הזכאות לדמי אבטלה למי שנמצא בהכשרה מקצועית, וכיום קובע החוק כדלקמן:</w:t>
      </w:r>
    </w:p>
    <w:p w14:paraId="61D8D86C" w14:textId="77777777" w:rsidR="003B032C" w:rsidRDefault="003B032C" w:rsidP="003B032C">
      <w:pPr>
        <w:pStyle w:val="Hesber"/>
        <w:numPr>
          <w:ilvl w:val="0"/>
          <w:numId w:val="15"/>
        </w:numPr>
        <w:rPr>
          <w:rtl/>
        </w:rPr>
      </w:pPr>
      <w:r>
        <w:rPr>
          <w:rtl/>
        </w:rPr>
        <w:lastRenderedPageBreak/>
        <w:t>מובטל הנשלח להכשרה מקצועית זכאי להמשיך ולקבל דמי אבטלה לפי תקופת הזכאות המירבית הקבועה לגביו בחוק, ורק אם טרם חלפה שנה מיום שהפך למובטל.</w:t>
      </w:r>
    </w:p>
    <w:p w14:paraId="56F38A4A" w14:textId="77777777" w:rsidR="003B032C" w:rsidRDefault="003B032C" w:rsidP="003B032C">
      <w:pPr>
        <w:pStyle w:val="Hesber"/>
        <w:numPr>
          <w:ilvl w:val="0"/>
          <w:numId w:val="15"/>
        </w:numPr>
        <w:rPr>
          <w:rtl/>
        </w:rPr>
      </w:pPr>
      <w:r>
        <w:rPr>
          <w:rtl/>
        </w:rPr>
        <w:t>מובטל כאמור זכאי לדמי אבטלה מופחתים, בשיעור של 70% בלבד מדמי האבטלה להם היה זכאי אלמלא השתתף בהכשרה המקצועית.</w:t>
      </w:r>
    </w:p>
    <w:p w14:paraId="580D17AA" w14:textId="77777777" w:rsidR="003B032C" w:rsidRDefault="003B032C" w:rsidP="003B032C">
      <w:pPr>
        <w:pStyle w:val="Hesber"/>
      </w:pPr>
      <w:r>
        <w:rPr>
          <w:rtl/>
        </w:rPr>
        <w:t xml:space="preserve">המצב האמור טעון תיקון, מאחר ויש בו תמריץ שלילי להשתתף בהכשרה מקצועית, ובכך נמנע ממבוטחים רבים הסיכוי להשתלב בעתיד בתעסוקה כלשהיא או בתעסוקה התואמת יותר את יכולותיהם. על פי נתוני אגף המחקר של הביטוח הלאומי, בעקבות השינויים בחוק הלך ופחת מספר מקבלי האבטלה שהשתתפו בתוכניות הכשרה מקצועית. בשנת 2002, כשעבר התיקון, היה שיעור המובטלים שקיבלו הכשרה מקצועית 14%, ובשנת 2008 שיעור המשתתפים כבר עמד על פחות מאחוז. </w:t>
      </w:r>
    </w:p>
    <w:p w14:paraId="0951CC59" w14:textId="77777777" w:rsidR="003B032C" w:rsidRDefault="003B032C" w:rsidP="003B032C">
      <w:pPr>
        <w:pStyle w:val="Hesber"/>
        <w:rPr>
          <w:rtl/>
        </w:rPr>
      </w:pPr>
      <w:r>
        <w:rPr>
          <w:rtl/>
        </w:rPr>
        <w:t>הצעת החוק באה לתקן את המצב כך שתבוטל ההפחתה בדמי האבטלה בשיעור של 30% לכלל המשתתפים בהכשרה המקצועית. בנוסף, מוצע שלא להחיל על משתתף בהכשרה מקצועית את ההוראות הנוגעות לתקופה המרבית לדמי אבטלה ולתחילת תשלום דמי האבטלה, ובלבד שהתחיל את ההכשרה במהלך שישה חודשים מהיום הקובע.</w:t>
      </w:r>
    </w:p>
    <w:p w14:paraId="19E0C56D" w14:textId="1BA9BCC2" w:rsidR="0070285A" w:rsidRDefault="003B032C" w:rsidP="00B6168B">
      <w:pPr>
        <w:pStyle w:val="Hesber"/>
        <w:rPr>
          <w:rtl/>
        </w:rPr>
      </w:pPr>
      <w:r>
        <w:rPr>
          <w:rtl/>
        </w:rPr>
        <w:t>הצע</w:t>
      </w:r>
      <w:r>
        <w:rPr>
          <w:rFonts w:hint="cs"/>
          <w:rtl/>
        </w:rPr>
        <w:t>ו</w:t>
      </w:r>
      <w:r>
        <w:rPr>
          <w:rtl/>
        </w:rPr>
        <w:t>ת חוק זה</w:t>
      </w:r>
      <w:r>
        <w:rPr>
          <w:rFonts w:hint="cs"/>
          <w:rtl/>
        </w:rPr>
        <w:t>ות הונחו</w:t>
      </w:r>
      <w:r>
        <w:rPr>
          <w:rtl/>
        </w:rPr>
        <w:t xml:space="preserve"> על שולחן הכנסת העשרים על ידי חברת הכנסת מירב בן ארי (פ/3329/20)</w:t>
      </w:r>
      <w:r>
        <w:rPr>
          <w:rFonts w:hint="cs"/>
          <w:rtl/>
        </w:rPr>
        <w:t xml:space="preserve">, </w:t>
      </w:r>
      <w:r>
        <w:rPr>
          <w:rtl/>
        </w:rPr>
        <w:t>על שולחן הכנסת העשרים</w:t>
      </w:r>
      <w:r>
        <w:rPr>
          <w:rFonts w:hint="cs"/>
          <w:rtl/>
        </w:rPr>
        <w:t xml:space="preserve"> ואחת</w:t>
      </w:r>
      <w:r>
        <w:rPr>
          <w:rtl/>
        </w:rPr>
        <w:t xml:space="preserve"> על ידי </w:t>
      </w:r>
      <w:r>
        <w:rPr>
          <w:rFonts w:hint="cs"/>
          <w:rtl/>
        </w:rPr>
        <w:t>חבר הכנסת רועי פולקמן</w:t>
      </w:r>
      <w:r>
        <w:rPr>
          <w:rtl/>
        </w:rPr>
        <w:t xml:space="preserve"> (פ/490/21)</w:t>
      </w:r>
      <w:r w:rsidR="0070285A">
        <w:rPr>
          <w:rFonts w:hint="cs"/>
          <w:rtl/>
        </w:rPr>
        <w:t xml:space="preserve">, </w:t>
      </w:r>
      <w:r>
        <w:rPr>
          <w:rFonts w:hint="cs"/>
          <w:rtl/>
        </w:rPr>
        <w:t xml:space="preserve">על שולחן הכנסת העשרים ושתיים </w:t>
      </w:r>
      <w:r w:rsidR="00B6168B">
        <w:rPr>
          <w:rFonts w:hint="cs"/>
          <w:rtl/>
        </w:rPr>
        <w:t>על ידי חבר הכנסת איתן גינזבורג (פ/73/22),</w:t>
      </w:r>
      <w:r w:rsidR="00B6168B" w:rsidRPr="0070285A">
        <w:rPr>
          <w:rFonts w:hint="cs"/>
          <w:rtl/>
        </w:rPr>
        <w:t xml:space="preserve"> </w:t>
      </w:r>
      <w:r w:rsidR="00BE3744">
        <w:rPr>
          <w:rFonts w:hint="cs"/>
          <w:rtl/>
        </w:rPr>
        <w:t>על ידי חברת הכנסת</w:t>
      </w:r>
      <w:r w:rsidR="00BE3744">
        <w:t xml:space="preserve"> </w:t>
      </w:r>
      <w:r w:rsidR="00BE3744" w:rsidRPr="003A2998">
        <w:rPr>
          <w:rFonts w:hint="cs"/>
          <w:rtl/>
        </w:rPr>
        <w:t>חוה אתי עטייה</w:t>
      </w:r>
      <w:r w:rsidR="00BE3744">
        <w:rPr>
          <w:rFonts w:hint="cs"/>
          <w:rtl/>
        </w:rPr>
        <w:t xml:space="preserve"> (פ/228/22) ו</w:t>
      </w:r>
      <w:r>
        <w:rPr>
          <w:rFonts w:hint="cs"/>
          <w:rtl/>
        </w:rPr>
        <w:t xml:space="preserve">על ידי חבר הכנסת איציק שמולי (פ/394/22), </w:t>
      </w:r>
      <w:r w:rsidR="0070285A">
        <w:rPr>
          <w:rFonts w:hint="cs"/>
          <w:rtl/>
        </w:rPr>
        <w:t>ועל שולחן הכנסת העשרים ושלוש על ידי חבר הכנסת איתן גינזבורג (פ/47/23)</w:t>
      </w:r>
      <w:r w:rsidR="00A15087">
        <w:rPr>
          <w:rFonts w:hint="cs"/>
          <w:rtl/>
        </w:rPr>
        <w:t xml:space="preserve"> ועל ידי חברת הכנסת חוה אתי עטייה (פ/223/23). </w:t>
      </w:r>
    </w:p>
    <w:p w14:paraId="448D4811" w14:textId="77777777" w:rsidR="00E87FE8" w:rsidRDefault="00E87FE8" w:rsidP="00B6168B">
      <w:pPr>
        <w:pStyle w:val="Hesber"/>
        <w:rPr>
          <w:rtl/>
        </w:rPr>
      </w:pPr>
    </w:p>
    <w:p w14:paraId="29C5F748" w14:textId="77777777" w:rsidR="00E87FE8" w:rsidRPr="00D73212" w:rsidRDefault="00E87FE8" w:rsidP="00E87FE8">
      <w:pPr>
        <w:pStyle w:val="Hesber"/>
        <w:rPr>
          <w:rtl/>
        </w:rPr>
      </w:pPr>
      <w:r w:rsidRPr="00D73212">
        <w:rPr>
          <w:rtl/>
        </w:rPr>
        <w:t>---------------------------------</w:t>
      </w:r>
    </w:p>
    <w:p w14:paraId="2AAC52DC" w14:textId="77777777" w:rsidR="00E87FE8" w:rsidRPr="00D73212" w:rsidRDefault="00E87FE8" w:rsidP="00E87FE8">
      <w:pPr>
        <w:pStyle w:val="Hesber"/>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2FF38343" w14:textId="77777777" w:rsidR="00E87FE8" w:rsidRPr="00D73212" w:rsidRDefault="00E87FE8" w:rsidP="00E87FE8">
      <w:pPr>
        <w:pStyle w:val="Hesber"/>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2BFF63CE" w14:textId="77777777" w:rsidR="00E87FE8" w:rsidRPr="00317312" w:rsidRDefault="00E87FE8" w:rsidP="00E87FE8">
      <w:pPr>
        <w:pStyle w:val="Hesber"/>
      </w:pPr>
      <w:r>
        <w:rPr>
          <w:rFonts w:hint="cs"/>
          <w:rtl/>
        </w:rPr>
        <w:t xml:space="preserve">י"ז באייר התש"ף </w:t>
      </w:r>
      <w:r w:rsidRPr="00D73212">
        <w:rPr>
          <w:rtl/>
        </w:rPr>
        <w:t>–</w:t>
      </w:r>
      <w:r>
        <w:rPr>
          <w:rFonts w:hint="cs"/>
          <w:rtl/>
        </w:rPr>
        <w:t xml:space="preserve"> 11.5</w:t>
      </w:r>
      <w:r w:rsidRPr="00D73212">
        <w:rPr>
          <w:rtl/>
        </w:rPr>
        <w:t>.</w:t>
      </w:r>
      <w:r>
        <w:rPr>
          <w:rFonts w:hint="cs"/>
          <w:rtl/>
        </w:rPr>
        <w:t xml:space="preserve">20  </w:t>
      </w:r>
    </w:p>
    <w:p w14:paraId="7B129820" w14:textId="77777777" w:rsidR="00E87FE8" w:rsidRPr="00E87FE8" w:rsidRDefault="00E87FE8" w:rsidP="00B6168B">
      <w:pPr>
        <w:pStyle w:val="Hesber"/>
        <w:rPr>
          <w:rtl/>
        </w:rPr>
      </w:pPr>
      <w:bookmarkStart w:id="6" w:name="_GoBack"/>
      <w:bookmarkEnd w:id="6"/>
    </w:p>
    <w:p w14:paraId="221921EA" w14:textId="6F79282C" w:rsidR="003B032C" w:rsidRDefault="003B032C" w:rsidP="003B032C">
      <w:pPr>
        <w:pStyle w:val="Hesber"/>
        <w:rPr>
          <w:rtl/>
        </w:rPr>
      </w:pPr>
    </w:p>
    <w:sectPr w:rsidR="003B032C" w:rsidSect="00E87FE8">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2A5D1E94"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E87FE8">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E87FE8">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7BA0D7AD" w14:textId="77777777" w:rsidR="003B032C" w:rsidRDefault="003B032C" w:rsidP="003B032C">
      <w:pPr>
        <w:pStyle w:val="a4"/>
        <w:rPr>
          <w:rtl/>
        </w:rPr>
      </w:pPr>
      <w:r>
        <w:rPr>
          <w:rStyle w:val="a6"/>
        </w:rPr>
        <w:footnoteRef/>
      </w:r>
      <w:r>
        <w:rPr>
          <w:rtl/>
        </w:rPr>
        <w:t xml:space="preserve"> </w:t>
      </w:r>
      <w:r>
        <w:rPr>
          <w:rFonts w:hint="cs"/>
          <w:rtl/>
        </w:rPr>
        <w:t>ס"ח התשנ"ה, עמ' 210.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147AD"/>
    <w:multiLevelType w:val="hybridMultilevel"/>
    <w:tmpl w:val="E3BAF432"/>
    <w:lvl w:ilvl="0" w:tplc="D1D459B4">
      <w:start w:val="1"/>
      <w:numFmt w:val="decimal"/>
      <w:lvlText w:val="%1."/>
      <w:lvlJc w:val="left"/>
      <w:pPr>
        <w:ind w:left="700" w:hanging="360"/>
      </w:pPr>
    </w:lvl>
    <w:lvl w:ilvl="1" w:tplc="04090019">
      <w:start w:val="1"/>
      <w:numFmt w:val="lowerLetter"/>
      <w:lvlText w:val="%2."/>
      <w:lvlJc w:val="left"/>
      <w:pPr>
        <w:ind w:left="1420" w:hanging="360"/>
      </w:pPr>
    </w:lvl>
    <w:lvl w:ilvl="2" w:tplc="0409001B">
      <w:start w:val="1"/>
      <w:numFmt w:val="lowerRoman"/>
      <w:lvlText w:val="%3."/>
      <w:lvlJc w:val="right"/>
      <w:pPr>
        <w:ind w:left="2140" w:hanging="180"/>
      </w:pPr>
    </w:lvl>
    <w:lvl w:ilvl="3" w:tplc="0409000F">
      <w:start w:val="1"/>
      <w:numFmt w:val="decimal"/>
      <w:lvlText w:val="%4."/>
      <w:lvlJc w:val="left"/>
      <w:pPr>
        <w:ind w:left="2860" w:hanging="360"/>
      </w:pPr>
    </w:lvl>
    <w:lvl w:ilvl="4" w:tplc="04090019">
      <w:start w:val="1"/>
      <w:numFmt w:val="lowerLetter"/>
      <w:lvlText w:val="%5."/>
      <w:lvlJc w:val="left"/>
      <w:pPr>
        <w:ind w:left="3580" w:hanging="360"/>
      </w:pPr>
    </w:lvl>
    <w:lvl w:ilvl="5" w:tplc="0409001B">
      <w:start w:val="1"/>
      <w:numFmt w:val="lowerRoman"/>
      <w:lvlText w:val="%6."/>
      <w:lvlJc w:val="right"/>
      <w:pPr>
        <w:ind w:left="4300" w:hanging="180"/>
      </w:pPr>
    </w:lvl>
    <w:lvl w:ilvl="6" w:tplc="0409000F">
      <w:start w:val="1"/>
      <w:numFmt w:val="decimal"/>
      <w:lvlText w:val="%7."/>
      <w:lvlJc w:val="left"/>
      <w:pPr>
        <w:ind w:left="5020" w:hanging="360"/>
      </w:pPr>
    </w:lvl>
    <w:lvl w:ilvl="7" w:tplc="04090019">
      <w:start w:val="1"/>
      <w:numFmt w:val="lowerLetter"/>
      <w:lvlText w:val="%8."/>
      <w:lvlJc w:val="left"/>
      <w:pPr>
        <w:ind w:left="5740" w:hanging="360"/>
      </w:pPr>
    </w:lvl>
    <w:lvl w:ilvl="8" w:tplc="0409001B">
      <w:start w:val="1"/>
      <w:numFmt w:val="lowerRoman"/>
      <w:lvlText w:val="%9."/>
      <w:lvlJc w:val="right"/>
      <w:pPr>
        <w:ind w:left="6460" w:hanging="180"/>
      </w:pPr>
    </w:lvl>
  </w:abstractNum>
  <w:abstractNum w:abstractNumId="11"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2"/>
  </w:num>
  <w:num w:numId="14">
    <w:abstractNumId w:val="1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lvlOverride w:ilvl="0">
      <w:startOverride w:val="1"/>
    </w:lvlOverride>
  </w:num>
  <w:num w:numId="18">
    <w:abstractNumId w:val="11"/>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B032C"/>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16DF7"/>
    <w:rsid w:val="00553C9D"/>
    <w:rsid w:val="00562A66"/>
    <w:rsid w:val="00574F7B"/>
    <w:rsid w:val="005B064E"/>
    <w:rsid w:val="005D51AE"/>
    <w:rsid w:val="0060401A"/>
    <w:rsid w:val="0062674B"/>
    <w:rsid w:val="006363B2"/>
    <w:rsid w:val="00644940"/>
    <w:rsid w:val="006818A9"/>
    <w:rsid w:val="006A2D81"/>
    <w:rsid w:val="006C1D0D"/>
    <w:rsid w:val="0070285A"/>
    <w:rsid w:val="0070601E"/>
    <w:rsid w:val="00712C72"/>
    <w:rsid w:val="00735FE9"/>
    <w:rsid w:val="00763CAA"/>
    <w:rsid w:val="00765F66"/>
    <w:rsid w:val="0078664F"/>
    <w:rsid w:val="007A27CE"/>
    <w:rsid w:val="007C3FA6"/>
    <w:rsid w:val="007D585A"/>
    <w:rsid w:val="007D5A12"/>
    <w:rsid w:val="007E3069"/>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15087"/>
    <w:rsid w:val="00A26BD6"/>
    <w:rsid w:val="00A443CF"/>
    <w:rsid w:val="00A6611D"/>
    <w:rsid w:val="00A82CB7"/>
    <w:rsid w:val="00A942C1"/>
    <w:rsid w:val="00AA2F03"/>
    <w:rsid w:val="00AC36F7"/>
    <w:rsid w:val="00AC63A4"/>
    <w:rsid w:val="00AD239E"/>
    <w:rsid w:val="00B10265"/>
    <w:rsid w:val="00B16A99"/>
    <w:rsid w:val="00B21211"/>
    <w:rsid w:val="00B35784"/>
    <w:rsid w:val="00B6168B"/>
    <w:rsid w:val="00B733A7"/>
    <w:rsid w:val="00B75C91"/>
    <w:rsid w:val="00B975AD"/>
    <w:rsid w:val="00BC45FB"/>
    <w:rsid w:val="00BE3744"/>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87FE8"/>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00AE9DE1-47DF-4EF6-B0D2-429C2DD52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FE8"/>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E87FE8"/>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E87FE8"/>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E87FE8"/>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E87FE8"/>
    <w:pPr>
      <w:numPr>
        <w:numId w:val="19"/>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E87FE8"/>
    <w:pPr>
      <w:spacing w:line="259" w:lineRule="auto"/>
      <w:outlineLvl w:val="4"/>
    </w:pPr>
    <w:rPr>
      <w:color w:val="000000" w:themeColor="text1"/>
    </w:rPr>
  </w:style>
  <w:style w:type="character" w:default="1" w:styleId="a0">
    <w:name w:val="Default Paragraph Font"/>
    <w:uiPriority w:val="1"/>
    <w:semiHidden/>
    <w:unhideWhenUsed/>
    <w:rsid w:val="00E87FE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E87FE8"/>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E87FE8"/>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E87FE8"/>
    <w:rPr>
      <w:sz w:val="36"/>
      <w:szCs w:val="52"/>
    </w:rPr>
  </w:style>
  <w:style w:type="paragraph" w:customStyle="1" w:styleId="Cover3-Haknesset">
    <w:name w:val="Cover 3-Haknesset"/>
    <w:basedOn w:val="Cover1-Reshumot"/>
    <w:rsid w:val="00E87FE8"/>
    <w:rPr>
      <w:b/>
      <w:bCs/>
      <w:spacing w:val="60"/>
    </w:rPr>
  </w:style>
  <w:style w:type="paragraph" w:customStyle="1" w:styleId="Cover4-Date">
    <w:name w:val="Cover 4-Date"/>
    <w:basedOn w:val="a"/>
    <w:rsid w:val="00E87FE8"/>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E87FE8"/>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E87FE8"/>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E87FE8"/>
    <w:pPr>
      <w:spacing w:before="120" w:after="120"/>
    </w:pPr>
    <w:rPr>
      <w:color w:val="FF0000"/>
      <w:w w:val="80"/>
    </w:rPr>
  </w:style>
  <w:style w:type="paragraph" w:styleId="a3">
    <w:name w:val="endnote text"/>
    <w:basedOn w:val="a"/>
    <w:semiHidden/>
    <w:rsid w:val="00E87FE8"/>
    <w:pPr>
      <w:ind w:left="227" w:hanging="227"/>
    </w:pPr>
    <w:rPr>
      <w:sz w:val="14"/>
      <w:szCs w:val="22"/>
    </w:rPr>
  </w:style>
  <w:style w:type="paragraph" w:customStyle="1" w:styleId="TableText">
    <w:name w:val="Table Text"/>
    <w:basedOn w:val="a"/>
    <w:rsid w:val="00E87FE8"/>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E87FE8"/>
    <w:pPr>
      <w:outlineLvl w:val="2"/>
    </w:pPr>
  </w:style>
  <w:style w:type="paragraph" w:customStyle="1" w:styleId="TableBlock">
    <w:name w:val="Table Block"/>
    <w:basedOn w:val="TableText"/>
    <w:rsid w:val="00E87FE8"/>
    <w:pPr>
      <w:jc w:val="both"/>
    </w:pPr>
  </w:style>
  <w:style w:type="paragraph" w:customStyle="1" w:styleId="TableHead">
    <w:name w:val="Table Head"/>
    <w:basedOn w:val="TableText"/>
    <w:rsid w:val="00E87FE8"/>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E87FE8"/>
    <w:pPr>
      <w:outlineLvl w:val="9"/>
    </w:pPr>
  </w:style>
  <w:style w:type="paragraph" w:customStyle="1" w:styleId="Hesber">
    <w:name w:val="Hesber"/>
    <w:basedOn w:val="a"/>
    <w:rsid w:val="00E87FE8"/>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E87FE8"/>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E87FE8"/>
    <w:rPr>
      <w:vertAlign w:val="superscript"/>
    </w:rPr>
  </w:style>
  <w:style w:type="paragraph" w:customStyle="1" w:styleId="HesberHeading">
    <w:name w:val="Hesber Heading"/>
    <w:basedOn w:val="Hesber"/>
    <w:rsid w:val="00E87FE8"/>
    <w:pPr>
      <w:tabs>
        <w:tab w:val="left" w:pos="624"/>
        <w:tab w:val="left" w:pos="1247"/>
      </w:tabs>
    </w:pPr>
    <w:rPr>
      <w:b/>
      <w:bCs/>
    </w:rPr>
  </w:style>
  <w:style w:type="paragraph" w:customStyle="1" w:styleId="HesberWriters">
    <w:name w:val="Hesber Writers"/>
    <w:basedOn w:val="Hesber"/>
    <w:rsid w:val="00E87FE8"/>
    <w:pPr>
      <w:spacing w:before="120" w:after="120"/>
      <w:ind w:left="1418"/>
      <w:jc w:val="right"/>
    </w:pPr>
    <w:rPr>
      <w:b/>
      <w:bCs/>
    </w:rPr>
  </w:style>
  <w:style w:type="paragraph" w:customStyle="1" w:styleId="Hesber1st">
    <w:name w:val="Hesber 1st"/>
    <w:basedOn w:val="Hesber"/>
    <w:rsid w:val="00E87FE8"/>
    <w:pPr>
      <w:tabs>
        <w:tab w:val="left" w:pos="680"/>
        <w:tab w:val="left" w:pos="1020"/>
      </w:tabs>
      <w:ind w:firstLine="0"/>
    </w:pPr>
  </w:style>
  <w:style w:type="character" w:styleId="a7">
    <w:name w:val="endnote reference"/>
    <w:basedOn w:val="a0"/>
    <w:semiHidden/>
    <w:rsid w:val="00E87FE8"/>
    <w:rPr>
      <w:vertAlign w:val="superscript"/>
    </w:rPr>
  </w:style>
  <w:style w:type="paragraph" w:customStyle="1" w:styleId="TableBlockOutdent">
    <w:name w:val="Table BlockOutdent"/>
    <w:basedOn w:val="TableBlock"/>
    <w:rsid w:val="00E87FE8"/>
    <w:pPr>
      <w:ind w:left="624" w:hanging="624"/>
    </w:pPr>
  </w:style>
  <w:style w:type="paragraph" w:styleId="a8">
    <w:name w:val="header"/>
    <w:basedOn w:val="a"/>
    <w:rsid w:val="00E87FE8"/>
    <w:pPr>
      <w:tabs>
        <w:tab w:val="center" w:pos="4153"/>
        <w:tab w:val="right" w:pos="8306"/>
      </w:tabs>
    </w:pPr>
  </w:style>
  <w:style w:type="paragraph" w:styleId="a9">
    <w:name w:val="footer"/>
    <w:basedOn w:val="a"/>
    <w:rsid w:val="00E87FE8"/>
    <w:pPr>
      <w:tabs>
        <w:tab w:val="center" w:pos="4153"/>
        <w:tab w:val="right" w:pos="8306"/>
      </w:tabs>
    </w:pPr>
  </w:style>
  <w:style w:type="paragraph" w:customStyle="1" w:styleId="HeadDivreiHesber">
    <w:name w:val="Head DivreiHesber"/>
    <w:basedOn w:val="a"/>
    <w:rsid w:val="00E87FE8"/>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E87FE8"/>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E87FE8"/>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3B032C"/>
    <w:rPr>
      <w:rFonts w:ascii="Arial" w:eastAsia="Arial Unicode MS" w:hAnsi="Arial" w:cs="David"/>
      <w:snapToGrid w:val="0"/>
      <w:sz w:val="14"/>
    </w:rPr>
  </w:style>
  <w:style w:type="character" w:customStyle="1" w:styleId="10">
    <w:name w:val="כותרת 1 תו"/>
    <w:basedOn w:val="a0"/>
    <w:link w:val="1"/>
    <w:uiPriority w:val="9"/>
    <w:rsid w:val="00E87FE8"/>
    <w:rPr>
      <w:rFonts w:asciiTheme="majorHAnsi" w:eastAsiaTheme="majorEastAsia" w:hAnsiTheme="majorHAnsi" w:cs="David"/>
      <w:bCs/>
      <w:sz w:val="32"/>
      <w:szCs w:val="36"/>
    </w:rPr>
  </w:style>
  <w:style w:type="character" w:customStyle="1" w:styleId="20">
    <w:name w:val="כותרת 2 תו"/>
    <w:basedOn w:val="a0"/>
    <w:link w:val="2"/>
    <w:rsid w:val="00E87FE8"/>
    <w:rPr>
      <w:rFonts w:asciiTheme="majorHAnsi" w:eastAsiaTheme="majorEastAsia" w:hAnsiTheme="majorHAnsi" w:cs="David"/>
      <w:bCs/>
      <w:sz w:val="26"/>
      <w:szCs w:val="36"/>
      <w:u w:val="single"/>
    </w:rPr>
  </w:style>
  <w:style w:type="character" w:customStyle="1" w:styleId="30">
    <w:name w:val="כותרת 3 תו"/>
    <w:basedOn w:val="a0"/>
    <w:link w:val="3"/>
    <w:rsid w:val="00E87FE8"/>
    <w:rPr>
      <w:rFonts w:asciiTheme="majorHAnsi" w:eastAsiaTheme="majorEastAsia" w:hAnsiTheme="majorHAnsi" w:cs="David"/>
      <w:sz w:val="24"/>
      <w:szCs w:val="28"/>
      <w:u w:val="double"/>
    </w:rPr>
  </w:style>
  <w:style w:type="character" w:customStyle="1" w:styleId="40">
    <w:name w:val="כותרת 4 תו"/>
    <w:basedOn w:val="a0"/>
    <w:link w:val="4"/>
    <w:uiPriority w:val="9"/>
    <w:rsid w:val="00E87FE8"/>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E87FE8"/>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E87FE8"/>
    <w:pPr>
      <w:widowControl/>
      <w:spacing w:before="120" w:after="120"/>
      <w:outlineLvl w:val="9"/>
    </w:pPr>
    <w:rPr>
      <w:rtl/>
      <w:cs/>
    </w:rPr>
  </w:style>
  <w:style w:type="paragraph" w:styleId="TOC1">
    <w:name w:val="toc 1"/>
    <w:basedOn w:val="a"/>
    <w:next w:val="a"/>
    <w:autoRedefine/>
    <w:uiPriority w:val="39"/>
    <w:unhideWhenUsed/>
    <w:rsid w:val="00E87FE8"/>
    <w:pPr>
      <w:tabs>
        <w:tab w:val="right" w:leader="dot" w:pos="9629"/>
      </w:tabs>
      <w:spacing w:after="100"/>
    </w:pPr>
    <w:rPr>
      <w:bCs/>
      <w:szCs w:val="22"/>
    </w:rPr>
  </w:style>
  <w:style w:type="paragraph" w:styleId="TOC2">
    <w:name w:val="toc 2"/>
    <w:basedOn w:val="a"/>
    <w:next w:val="a"/>
    <w:uiPriority w:val="39"/>
    <w:unhideWhenUsed/>
    <w:rsid w:val="00E87FE8"/>
    <w:pPr>
      <w:tabs>
        <w:tab w:val="right" w:leader="dot" w:pos="9628"/>
      </w:tabs>
      <w:spacing w:after="100"/>
    </w:pPr>
    <w:rPr>
      <w:szCs w:val="22"/>
    </w:rPr>
  </w:style>
  <w:style w:type="character" w:styleId="Hyperlink">
    <w:name w:val="Hyperlink"/>
    <w:basedOn w:val="a0"/>
    <w:uiPriority w:val="99"/>
    <w:unhideWhenUsed/>
    <w:rsid w:val="00E87FE8"/>
    <w:rPr>
      <w:color w:val="0000FF" w:themeColor="hyperlink"/>
      <w:u w:val="single"/>
    </w:rPr>
  </w:style>
  <w:style w:type="paragraph" w:styleId="TOC3">
    <w:name w:val="toc 3"/>
    <w:basedOn w:val="a"/>
    <w:next w:val="a"/>
    <w:uiPriority w:val="39"/>
    <w:unhideWhenUsed/>
    <w:rsid w:val="00E87FE8"/>
    <w:pPr>
      <w:tabs>
        <w:tab w:val="right" w:leader="dot" w:pos="9629"/>
      </w:tabs>
      <w:spacing w:after="100"/>
      <w:ind w:left="567"/>
    </w:pPr>
    <w:rPr>
      <w:szCs w:val="22"/>
    </w:rPr>
  </w:style>
  <w:style w:type="paragraph" w:styleId="TOC4">
    <w:name w:val="toc 4"/>
    <w:basedOn w:val="a"/>
    <w:next w:val="a"/>
    <w:autoRedefine/>
    <w:unhideWhenUsed/>
    <w:qFormat/>
    <w:rsid w:val="00E87FE8"/>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E87FE8"/>
    <w:pPr>
      <w:tabs>
        <w:tab w:val="right" w:leader="dot" w:pos="9628"/>
      </w:tabs>
      <w:spacing w:after="100"/>
      <w:ind w:left="567"/>
    </w:pPr>
    <w:rPr>
      <w:szCs w:val="22"/>
    </w:rPr>
  </w:style>
  <w:style w:type="paragraph" w:styleId="TOC6">
    <w:name w:val="toc 6"/>
    <w:basedOn w:val="a"/>
    <w:next w:val="a"/>
    <w:autoRedefine/>
    <w:semiHidden/>
    <w:unhideWhenUsed/>
    <w:rsid w:val="00E87FE8"/>
    <w:pPr>
      <w:spacing w:after="100"/>
      <w:ind w:left="850"/>
    </w:pPr>
  </w:style>
  <w:style w:type="paragraph" w:styleId="TOC7">
    <w:name w:val="toc 7"/>
    <w:basedOn w:val="a"/>
    <w:next w:val="a"/>
    <w:autoRedefine/>
    <w:semiHidden/>
    <w:unhideWhenUsed/>
    <w:rsid w:val="00E87FE8"/>
    <w:pPr>
      <w:spacing w:after="100"/>
      <w:ind w:left="1020"/>
    </w:pPr>
  </w:style>
  <w:style w:type="paragraph" w:styleId="TOC8">
    <w:name w:val="toc 8"/>
    <w:basedOn w:val="a"/>
    <w:next w:val="a"/>
    <w:autoRedefine/>
    <w:semiHidden/>
    <w:unhideWhenUsed/>
    <w:rsid w:val="00E87FE8"/>
    <w:pPr>
      <w:spacing w:after="100"/>
      <w:ind w:left="1190"/>
    </w:pPr>
  </w:style>
  <w:style w:type="paragraph" w:styleId="TOC9">
    <w:name w:val="toc 9"/>
    <w:basedOn w:val="a"/>
    <w:next w:val="a"/>
    <w:autoRedefine/>
    <w:semiHidden/>
    <w:unhideWhenUsed/>
    <w:rsid w:val="00E87FE8"/>
    <w:pPr>
      <w:spacing w:after="100"/>
      <w:ind w:left="1360"/>
    </w:pPr>
  </w:style>
  <w:style w:type="paragraph" w:customStyle="1" w:styleId="TableHead2">
    <w:name w:val="Table Head2"/>
    <w:basedOn w:val="TableHead"/>
    <w:qFormat/>
    <w:rsid w:val="00E87FE8"/>
    <w:pPr>
      <w:outlineLvl w:val="9"/>
    </w:pPr>
  </w:style>
  <w:style w:type="paragraph" w:customStyle="1" w:styleId="TableSideHeading2">
    <w:name w:val="Table SideHeading2"/>
    <w:basedOn w:val="TableSideHeading"/>
    <w:autoRedefine/>
    <w:qFormat/>
    <w:rsid w:val="00E87FE8"/>
    <w:pPr>
      <w:keepLines w:val="0"/>
      <w:outlineLvl w:val="9"/>
    </w:pPr>
  </w:style>
  <w:style w:type="paragraph" w:customStyle="1" w:styleId="0">
    <w:name w:val="סגנון שורה ראשונה:  0  ס''מ"/>
    <w:basedOn w:val="2"/>
    <w:rsid w:val="00E87FE8"/>
    <w:rPr>
      <w:rFonts w:eastAsia="Times New Roman"/>
    </w:rPr>
  </w:style>
  <w:style w:type="paragraph" w:styleId="af">
    <w:name w:val="List Paragraph"/>
    <w:basedOn w:val="a"/>
    <w:uiPriority w:val="34"/>
    <w:qFormat/>
    <w:rsid w:val="00E87FE8"/>
    <w:pPr>
      <w:widowControl/>
      <w:spacing w:line="259" w:lineRule="auto"/>
    </w:pPr>
    <w:rPr>
      <w:rFonts w:asciiTheme="minorHAnsi" w:hAnsiTheme="minorHAnsi"/>
      <w:sz w:val="22"/>
    </w:rPr>
  </w:style>
  <w:style w:type="table" w:styleId="af0">
    <w:name w:val="Table Grid"/>
    <w:basedOn w:val="a1"/>
    <w:rsid w:val="00E87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E87F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E87F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E87FE8"/>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E87FE8"/>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57331-48F5-4C59-868B-2E8990B6B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80FF4CA8-B2C9-4916-94AE-A96BB76E6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422</Words>
  <Characters>2407</Characters>
  <Application>Microsoft Office Word</Application>
  <DocSecurity>0</DocSecurity>
  <Lines>20</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13</cp:revision>
  <cp:lastPrinted>2013-07-04T08:25:00Z</cp:lastPrinted>
  <dcterms:created xsi:type="dcterms:W3CDTF">2015-04-20T09:58:00Z</dcterms:created>
  <dcterms:modified xsi:type="dcterms:W3CDTF">2020-05-07T07:30:00Z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2086460</vt:r8>
  </property>
</Properties>
</file>