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2086784</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איציק שמולי</w:t>
      </w:r>
      <w:bookmarkEnd w:id="3"/>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5BB864D5" w:rsidR="00E13C27" w:rsidRPr="00E06736" w:rsidRDefault="00904591" w:rsidP="005E3142">
      <w:pPr>
        <w:pStyle w:val="David"/>
        <w:spacing w:line="240" w:lineRule="auto"/>
        <w:ind w:left="6424" w:firstLine="56"/>
        <w:rPr>
          <w:rtl/>
        </w:rPr>
      </w:pPr>
      <w:bookmarkStart w:id="4" w:name="Private_Number"/>
      <w:r>
        <w:rPr>
          <w:rFonts w:hint="cs"/>
          <w:rtl/>
        </w:rPr>
        <w:t>פ/707/23</w:t>
      </w:r>
      <w:bookmarkEnd w:id="4"/>
    </w:p>
    <w:p w14:paraId="7F6961AC" w14:textId="77777777" w:rsidR="00E13C27" w:rsidRDefault="00E13C27" w:rsidP="00E13C27">
      <w:pPr>
        <w:ind w:left="2880" w:firstLine="720"/>
        <w:rPr>
          <w:sz w:val="26"/>
          <w:szCs w:val="26"/>
          <w:rtl/>
        </w:rPr>
      </w:pPr>
    </w:p>
    <w:p w14:paraId="7F6961AD" w14:textId="04F02EC8" w:rsidR="00E13C27" w:rsidRPr="00F67051" w:rsidRDefault="00A443CF" w:rsidP="00F42567">
      <w:pPr>
        <w:pStyle w:val="HeadHatzaotHok"/>
        <w:rPr>
          <w:rtl/>
        </w:rPr>
      </w:pPr>
      <w:bookmarkStart w:id="5" w:name="LGS_Subject"/>
      <w:r>
        <w:rPr>
          <w:rFonts w:hint="cs"/>
          <w:rtl/>
        </w:rPr>
        <w:t xml:space="preserve">הצעת חוק שירות המילואים (תיקון </w:t>
      </w:r>
      <w:r w:rsidR="00F42567">
        <w:rPr>
          <w:rFonts w:hint="eastAsia"/>
          <w:rtl/>
        </w:rPr>
        <w:t>–</w:t>
      </w:r>
      <w:r w:rsidR="00F42567">
        <w:rPr>
          <w:rFonts w:hint="cs"/>
          <w:rtl/>
        </w:rPr>
        <w:t xml:space="preserve"> </w:t>
      </w:r>
      <w:r>
        <w:rPr>
          <w:rFonts w:hint="cs"/>
          <w:rtl/>
        </w:rPr>
        <w:t>תוספת גמול לימי מילואים נוספים), התש"ף</w:t>
      </w:r>
      <w:r w:rsidR="00F42567">
        <w:rPr>
          <w:rFonts w:hint="eastAsia"/>
          <w:rtl/>
        </w:rPr>
        <w:t>–</w:t>
      </w:r>
      <w:r>
        <w:rPr>
          <w:rFonts w:hint="cs"/>
          <w:rtl/>
        </w:rPr>
        <w:t>2020</w:t>
      </w:r>
      <w:bookmarkEnd w:id="5"/>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624"/>
        <w:gridCol w:w="4023"/>
      </w:tblGrid>
      <w:tr w:rsidR="00DE3D2D" w14:paraId="32865AF8" w14:textId="77777777" w:rsidTr="008B18DC">
        <w:trPr>
          <w:cantSplit/>
        </w:trPr>
        <w:tc>
          <w:tcPr>
            <w:tcW w:w="1871" w:type="dxa"/>
            <w:hideMark/>
          </w:tcPr>
          <w:p w14:paraId="62969605" w14:textId="77777777" w:rsidR="00DE3D2D" w:rsidRPr="00F350CD" w:rsidRDefault="00DE3D2D" w:rsidP="009E7CBC">
            <w:pPr>
              <w:pStyle w:val="TableSideHeading"/>
            </w:pPr>
            <w:r w:rsidRPr="00F350CD">
              <w:rPr>
                <w:rtl/>
              </w:rPr>
              <w:t>הוספת סעיף 19א</w:t>
            </w:r>
          </w:p>
        </w:tc>
        <w:tc>
          <w:tcPr>
            <w:tcW w:w="624" w:type="dxa"/>
            <w:hideMark/>
          </w:tcPr>
          <w:p w14:paraId="46061AF4" w14:textId="77777777" w:rsidR="00DE3D2D" w:rsidRPr="00F350CD" w:rsidRDefault="00DE3D2D" w:rsidP="009E7CBC">
            <w:pPr>
              <w:pStyle w:val="TableText"/>
              <w:jc w:val="both"/>
            </w:pPr>
            <w:r w:rsidRPr="00F350CD">
              <w:rPr>
                <w:rtl/>
              </w:rPr>
              <w:t>1.</w:t>
            </w:r>
          </w:p>
        </w:tc>
        <w:tc>
          <w:tcPr>
            <w:tcW w:w="7143" w:type="dxa"/>
            <w:gridSpan w:val="6"/>
            <w:hideMark/>
          </w:tcPr>
          <w:p w14:paraId="7344D403" w14:textId="77777777" w:rsidR="00DE3D2D" w:rsidRPr="00F350CD" w:rsidRDefault="00DE3D2D" w:rsidP="008B18DC">
            <w:pPr>
              <w:pStyle w:val="TableBlock"/>
            </w:pPr>
            <w:r w:rsidRPr="00F350CD">
              <w:rPr>
                <w:rtl/>
              </w:rPr>
              <w:t>בחוק שירות המילואים, התשס"ח–2008</w:t>
            </w:r>
            <w:r w:rsidRPr="008B18DC">
              <w:rPr>
                <w:rFonts w:ascii="David" w:hAnsi="David"/>
                <w:sz w:val="26"/>
                <w:vertAlign w:val="superscript"/>
                <w:rtl/>
              </w:rPr>
              <w:footnoteReference w:id="2"/>
            </w:r>
            <w:r w:rsidRPr="00F350CD">
              <w:rPr>
                <w:rtl/>
              </w:rPr>
              <w:t>, אחרי סעיף 19 יבוא:</w:t>
            </w:r>
          </w:p>
        </w:tc>
      </w:tr>
      <w:tr w:rsidR="00DE3D2D" w14:paraId="13E190FC" w14:textId="77777777" w:rsidTr="008B18DC">
        <w:trPr>
          <w:cantSplit/>
        </w:trPr>
        <w:tc>
          <w:tcPr>
            <w:tcW w:w="1871" w:type="dxa"/>
          </w:tcPr>
          <w:p w14:paraId="675CBAE0" w14:textId="77777777" w:rsidR="00DE3D2D" w:rsidRPr="00F350CD" w:rsidRDefault="00DE3D2D" w:rsidP="009E7CBC">
            <w:pPr>
              <w:pStyle w:val="TableSideHeading"/>
            </w:pPr>
          </w:p>
        </w:tc>
        <w:tc>
          <w:tcPr>
            <w:tcW w:w="624" w:type="dxa"/>
          </w:tcPr>
          <w:p w14:paraId="6B7A1AF5" w14:textId="77777777" w:rsidR="00DE3D2D" w:rsidRPr="00F350CD" w:rsidRDefault="00DE3D2D" w:rsidP="009E7CBC">
            <w:pPr>
              <w:pStyle w:val="TableText"/>
              <w:jc w:val="both"/>
            </w:pPr>
          </w:p>
        </w:tc>
        <w:tc>
          <w:tcPr>
            <w:tcW w:w="1872" w:type="dxa"/>
            <w:gridSpan w:val="3"/>
            <w:hideMark/>
          </w:tcPr>
          <w:p w14:paraId="4669254F" w14:textId="77777777" w:rsidR="00DE3D2D" w:rsidRPr="00F350CD" w:rsidRDefault="00DE3D2D" w:rsidP="009E7CBC">
            <w:pPr>
              <w:pStyle w:val="TableInnerSideHeading"/>
            </w:pPr>
            <w:r w:rsidRPr="00F350CD">
              <w:rPr>
                <w:rtl/>
              </w:rPr>
              <w:t>"תוספת גמול לימי מילואים נוספים</w:t>
            </w:r>
          </w:p>
        </w:tc>
        <w:tc>
          <w:tcPr>
            <w:tcW w:w="624" w:type="dxa"/>
            <w:hideMark/>
          </w:tcPr>
          <w:p w14:paraId="4AC92EBA" w14:textId="77777777" w:rsidR="00DE3D2D" w:rsidRPr="00F350CD" w:rsidRDefault="00DE3D2D" w:rsidP="009E7CBC">
            <w:pPr>
              <w:pStyle w:val="TableText"/>
              <w:jc w:val="both"/>
            </w:pPr>
            <w:r w:rsidRPr="00F350CD">
              <w:rPr>
                <w:rtl/>
              </w:rPr>
              <w:t>19א.</w:t>
            </w:r>
          </w:p>
        </w:tc>
        <w:tc>
          <w:tcPr>
            <w:tcW w:w="4647" w:type="dxa"/>
            <w:gridSpan w:val="2"/>
            <w:hideMark/>
          </w:tcPr>
          <w:p w14:paraId="2312660C" w14:textId="77777777" w:rsidR="00DE3D2D" w:rsidRPr="00F350CD" w:rsidRDefault="00DE3D2D" w:rsidP="008B18DC">
            <w:pPr>
              <w:pStyle w:val="TableBlock"/>
            </w:pPr>
            <w:r w:rsidRPr="00F350CD">
              <w:rPr>
                <w:rtl/>
              </w:rPr>
              <w:t>חייל המשרת במילואים החורג ממספר הימים שנקבע לגביו בסעיף 7(א)(1) יהיה זכאי –</w:t>
            </w:r>
          </w:p>
        </w:tc>
      </w:tr>
      <w:tr w:rsidR="00DE3D2D" w14:paraId="77353B84" w14:textId="77777777" w:rsidTr="008B18DC">
        <w:trPr>
          <w:cantSplit/>
        </w:trPr>
        <w:tc>
          <w:tcPr>
            <w:tcW w:w="1871" w:type="dxa"/>
          </w:tcPr>
          <w:p w14:paraId="4F83D6FB" w14:textId="77777777" w:rsidR="00DE3D2D" w:rsidRPr="00F350CD" w:rsidRDefault="00DE3D2D" w:rsidP="009E7CBC">
            <w:pPr>
              <w:pStyle w:val="TableSideHeading"/>
            </w:pPr>
          </w:p>
        </w:tc>
        <w:tc>
          <w:tcPr>
            <w:tcW w:w="624" w:type="dxa"/>
          </w:tcPr>
          <w:p w14:paraId="0FDB474F" w14:textId="77777777" w:rsidR="00DE3D2D" w:rsidRPr="00F350CD" w:rsidRDefault="00DE3D2D" w:rsidP="009E7CBC">
            <w:pPr>
              <w:pStyle w:val="TableText"/>
              <w:jc w:val="both"/>
            </w:pPr>
          </w:p>
        </w:tc>
        <w:tc>
          <w:tcPr>
            <w:tcW w:w="624" w:type="dxa"/>
          </w:tcPr>
          <w:p w14:paraId="6A4B594B" w14:textId="77777777" w:rsidR="00DE3D2D" w:rsidRPr="00F350CD" w:rsidRDefault="00DE3D2D" w:rsidP="009E7CBC">
            <w:pPr>
              <w:pStyle w:val="TableText"/>
              <w:jc w:val="both"/>
            </w:pPr>
          </w:p>
        </w:tc>
        <w:tc>
          <w:tcPr>
            <w:tcW w:w="624" w:type="dxa"/>
          </w:tcPr>
          <w:p w14:paraId="67AD89E8" w14:textId="77777777" w:rsidR="00DE3D2D" w:rsidRPr="00F350CD" w:rsidRDefault="00DE3D2D" w:rsidP="009E7CBC">
            <w:pPr>
              <w:pStyle w:val="TableText"/>
              <w:jc w:val="both"/>
            </w:pPr>
          </w:p>
        </w:tc>
        <w:tc>
          <w:tcPr>
            <w:tcW w:w="624" w:type="dxa"/>
          </w:tcPr>
          <w:p w14:paraId="07906632" w14:textId="77777777" w:rsidR="00DE3D2D" w:rsidRPr="00F350CD" w:rsidRDefault="00DE3D2D" w:rsidP="009E7CBC">
            <w:pPr>
              <w:pStyle w:val="TableText"/>
              <w:jc w:val="both"/>
            </w:pPr>
          </w:p>
        </w:tc>
        <w:tc>
          <w:tcPr>
            <w:tcW w:w="624" w:type="dxa"/>
          </w:tcPr>
          <w:p w14:paraId="49AD48A2" w14:textId="77777777" w:rsidR="00DE3D2D" w:rsidRPr="00F350CD" w:rsidRDefault="00DE3D2D" w:rsidP="009E7CBC">
            <w:pPr>
              <w:pStyle w:val="TableText"/>
              <w:jc w:val="both"/>
            </w:pPr>
          </w:p>
        </w:tc>
        <w:tc>
          <w:tcPr>
            <w:tcW w:w="4647" w:type="dxa"/>
            <w:gridSpan w:val="2"/>
            <w:hideMark/>
          </w:tcPr>
          <w:p w14:paraId="17C838BC" w14:textId="77777777" w:rsidR="00DE3D2D" w:rsidRPr="00F350CD" w:rsidRDefault="00DE3D2D" w:rsidP="008B18DC">
            <w:pPr>
              <w:pStyle w:val="TableBlock"/>
            </w:pPr>
            <w:r w:rsidRPr="00F350CD">
              <w:rPr>
                <w:rtl/>
              </w:rPr>
              <w:t>(1)</w:t>
            </w:r>
            <w:r w:rsidRPr="00F350CD">
              <w:rPr>
                <w:rtl/>
              </w:rPr>
              <w:tab/>
              <w:t xml:space="preserve">לגבי חייל מילואים שאינו קצין וממלא תפקיד שאינו פיקודי – </w:t>
            </w:r>
          </w:p>
        </w:tc>
      </w:tr>
      <w:tr w:rsidR="00DE3D2D" w14:paraId="4D281020" w14:textId="77777777" w:rsidTr="008B18DC">
        <w:trPr>
          <w:cantSplit/>
        </w:trPr>
        <w:tc>
          <w:tcPr>
            <w:tcW w:w="1871" w:type="dxa"/>
          </w:tcPr>
          <w:p w14:paraId="50393222" w14:textId="77777777" w:rsidR="00DE3D2D" w:rsidRPr="00F350CD" w:rsidRDefault="00DE3D2D" w:rsidP="009E7CBC">
            <w:pPr>
              <w:pStyle w:val="TableSideHeading"/>
            </w:pPr>
          </w:p>
        </w:tc>
        <w:tc>
          <w:tcPr>
            <w:tcW w:w="624" w:type="dxa"/>
          </w:tcPr>
          <w:p w14:paraId="3D4533DE" w14:textId="77777777" w:rsidR="00DE3D2D" w:rsidRPr="00F350CD" w:rsidRDefault="00DE3D2D" w:rsidP="009E7CBC">
            <w:pPr>
              <w:pStyle w:val="TableText"/>
              <w:jc w:val="both"/>
            </w:pPr>
          </w:p>
        </w:tc>
        <w:tc>
          <w:tcPr>
            <w:tcW w:w="624" w:type="dxa"/>
          </w:tcPr>
          <w:p w14:paraId="22E3AC9C" w14:textId="77777777" w:rsidR="00DE3D2D" w:rsidRPr="00F350CD" w:rsidRDefault="00DE3D2D" w:rsidP="009E7CBC">
            <w:pPr>
              <w:pStyle w:val="TableText"/>
              <w:jc w:val="both"/>
            </w:pPr>
          </w:p>
        </w:tc>
        <w:tc>
          <w:tcPr>
            <w:tcW w:w="624" w:type="dxa"/>
          </w:tcPr>
          <w:p w14:paraId="136191CD" w14:textId="77777777" w:rsidR="00DE3D2D" w:rsidRPr="00F350CD" w:rsidRDefault="00DE3D2D" w:rsidP="009E7CBC">
            <w:pPr>
              <w:pStyle w:val="TableText"/>
              <w:jc w:val="both"/>
            </w:pPr>
          </w:p>
        </w:tc>
        <w:tc>
          <w:tcPr>
            <w:tcW w:w="624" w:type="dxa"/>
          </w:tcPr>
          <w:p w14:paraId="212310A2" w14:textId="77777777" w:rsidR="00DE3D2D" w:rsidRPr="00F350CD" w:rsidRDefault="00DE3D2D" w:rsidP="009E7CBC">
            <w:pPr>
              <w:pStyle w:val="TableText"/>
              <w:jc w:val="both"/>
            </w:pPr>
          </w:p>
        </w:tc>
        <w:tc>
          <w:tcPr>
            <w:tcW w:w="624" w:type="dxa"/>
          </w:tcPr>
          <w:p w14:paraId="5941E24E" w14:textId="77777777" w:rsidR="00DE3D2D" w:rsidRPr="00F350CD" w:rsidRDefault="00DE3D2D" w:rsidP="009E7CBC">
            <w:pPr>
              <w:pStyle w:val="TableText"/>
              <w:jc w:val="both"/>
            </w:pPr>
          </w:p>
        </w:tc>
        <w:tc>
          <w:tcPr>
            <w:tcW w:w="624" w:type="dxa"/>
          </w:tcPr>
          <w:p w14:paraId="4F93A0CD" w14:textId="77777777" w:rsidR="00DE3D2D" w:rsidRPr="00F350CD" w:rsidRDefault="00DE3D2D" w:rsidP="009E7CBC">
            <w:pPr>
              <w:pStyle w:val="TableText"/>
              <w:jc w:val="both"/>
            </w:pPr>
          </w:p>
        </w:tc>
        <w:tc>
          <w:tcPr>
            <w:tcW w:w="4023" w:type="dxa"/>
            <w:hideMark/>
          </w:tcPr>
          <w:p w14:paraId="6D8CC9D6" w14:textId="77777777" w:rsidR="00DE3D2D" w:rsidRPr="00F350CD" w:rsidRDefault="00DE3D2D" w:rsidP="008B18DC">
            <w:pPr>
              <w:pStyle w:val="TableBlock"/>
            </w:pPr>
            <w:r w:rsidRPr="00F350CD">
              <w:rPr>
                <w:rtl/>
              </w:rPr>
              <w:t>(א)</w:t>
            </w:r>
            <w:r w:rsidRPr="00F350CD">
              <w:rPr>
                <w:rtl/>
              </w:rPr>
              <w:tab/>
              <w:t>תוספת של 100 שקלים חדשים לכל יום מילואים החל מהיום ה-55 לשירות המילואים ועד ליום ה-69 לשירות;</w:t>
            </w:r>
          </w:p>
        </w:tc>
      </w:tr>
      <w:tr w:rsidR="00DE3D2D" w14:paraId="0061D9C9" w14:textId="77777777" w:rsidTr="008B18DC">
        <w:trPr>
          <w:cantSplit/>
        </w:trPr>
        <w:tc>
          <w:tcPr>
            <w:tcW w:w="1871" w:type="dxa"/>
          </w:tcPr>
          <w:p w14:paraId="14FF7F5C" w14:textId="77777777" w:rsidR="00DE3D2D" w:rsidRPr="00F350CD" w:rsidRDefault="00DE3D2D" w:rsidP="009E7CBC">
            <w:pPr>
              <w:pStyle w:val="TableSideHeading"/>
            </w:pPr>
          </w:p>
        </w:tc>
        <w:tc>
          <w:tcPr>
            <w:tcW w:w="624" w:type="dxa"/>
          </w:tcPr>
          <w:p w14:paraId="28C596D5" w14:textId="77777777" w:rsidR="00DE3D2D" w:rsidRPr="00F350CD" w:rsidRDefault="00DE3D2D" w:rsidP="009E7CBC">
            <w:pPr>
              <w:pStyle w:val="TableText"/>
              <w:jc w:val="both"/>
            </w:pPr>
          </w:p>
        </w:tc>
        <w:tc>
          <w:tcPr>
            <w:tcW w:w="624" w:type="dxa"/>
          </w:tcPr>
          <w:p w14:paraId="3F383BE0" w14:textId="77777777" w:rsidR="00DE3D2D" w:rsidRPr="00F350CD" w:rsidRDefault="00DE3D2D" w:rsidP="009E7CBC">
            <w:pPr>
              <w:pStyle w:val="TableText"/>
              <w:jc w:val="both"/>
            </w:pPr>
          </w:p>
        </w:tc>
        <w:tc>
          <w:tcPr>
            <w:tcW w:w="624" w:type="dxa"/>
          </w:tcPr>
          <w:p w14:paraId="6B5DD9B0" w14:textId="77777777" w:rsidR="00DE3D2D" w:rsidRPr="00F350CD" w:rsidRDefault="00DE3D2D" w:rsidP="009E7CBC">
            <w:pPr>
              <w:pStyle w:val="TableText"/>
              <w:jc w:val="both"/>
            </w:pPr>
          </w:p>
        </w:tc>
        <w:tc>
          <w:tcPr>
            <w:tcW w:w="624" w:type="dxa"/>
          </w:tcPr>
          <w:p w14:paraId="0A752290" w14:textId="77777777" w:rsidR="00DE3D2D" w:rsidRPr="00F350CD" w:rsidRDefault="00DE3D2D" w:rsidP="009E7CBC">
            <w:pPr>
              <w:pStyle w:val="TableText"/>
              <w:jc w:val="both"/>
            </w:pPr>
          </w:p>
        </w:tc>
        <w:tc>
          <w:tcPr>
            <w:tcW w:w="624" w:type="dxa"/>
          </w:tcPr>
          <w:p w14:paraId="4ABB97E6" w14:textId="77777777" w:rsidR="00DE3D2D" w:rsidRPr="00F350CD" w:rsidRDefault="00DE3D2D" w:rsidP="009E7CBC">
            <w:pPr>
              <w:pStyle w:val="TableText"/>
              <w:jc w:val="both"/>
            </w:pPr>
          </w:p>
        </w:tc>
        <w:tc>
          <w:tcPr>
            <w:tcW w:w="624" w:type="dxa"/>
          </w:tcPr>
          <w:p w14:paraId="19BF2521" w14:textId="77777777" w:rsidR="00DE3D2D" w:rsidRPr="00F350CD" w:rsidRDefault="00DE3D2D" w:rsidP="009E7CBC">
            <w:pPr>
              <w:pStyle w:val="TableText"/>
              <w:jc w:val="both"/>
            </w:pPr>
          </w:p>
        </w:tc>
        <w:tc>
          <w:tcPr>
            <w:tcW w:w="4023" w:type="dxa"/>
            <w:hideMark/>
          </w:tcPr>
          <w:p w14:paraId="55001CE8" w14:textId="77777777" w:rsidR="00DE3D2D" w:rsidRPr="00F350CD" w:rsidRDefault="00DE3D2D" w:rsidP="008B18DC">
            <w:pPr>
              <w:pStyle w:val="TableBlock"/>
            </w:pPr>
            <w:r w:rsidRPr="00F350CD">
              <w:rPr>
                <w:rtl/>
              </w:rPr>
              <w:t>(ב)</w:t>
            </w:r>
            <w:r w:rsidRPr="00F350CD">
              <w:rPr>
                <w:rtl/>
              </w:rPr>
              <w:tab/>
              <w:t>תוספת של 125 שקלים חדשים לכל יום מילואים החל מהיום ה-70 לשירות המילואים ועד ליום ה-83 לשירות;</w:t>
            </w:r>
          </w:p>
        </w:tc>
      </w:tr>
      <w:tr w:rsidR="00DE3D2D" w14:paraId="34C3CB08" w14:textId="77777777" w:rsidTr="008B18DC">
        <w:trPr>
          <w:cantSplit/>
        </w:trPr>
        <w:tc>
          <w:tcPr>
            <w:tcW w:w="1871" w:type="dxa"/>
          </w:tcPr>
          <w:p w14:paraId="44EC9DE8" w14:textId="77777777" w:rsidR="00DE3D2D" w:rsidRPr="00F350CD" w:rsidRDefault="00DE3D2D" w:rsidP="009E7CBC">
            <w:pPr>
              <w:pStyle w:val="TableSideHeading"/>
              <w:rPr>
                <w:rtl/>
              </w:rPr>
            </w:pPr>
          </w:p>
        </w:tc>
        <w:tc>
          <w:tcPr>
            <w:tcW w:w="624" w:type="dxa"/>
          </w:tcPr>
          <w:p w14:paraId="4472955D" w14:textId="77777777" w:rsidR="00DE3D2D" w:rsidRPr="00F350CD" w:rsidRDefault="00DE3D2D" w:rsidP="009E7CBC">
            <w:pPr>
              <w:pStyle w:val="TableText"/>
              <w:jc w:val="both"/>
            </w:pPr>
          </w:p>
        </w:tc>
        <w:tc>
          <w:tcPr>
            <w:tcW w:w="624" w:type="dxa"/>
          </w:tcPr>
          <w:p w14:paraId="7AD8EEF7" w14:textId="77777777" w:rsidR="00DE3D2D" w:rsidRPr="00F350CD" w:rsidRDefault="00DE3D2D" w:rsidP="009E7CBC">
            <w:pPr>
              <w:pStyle w:val="TableText"/>
              <w:jc w:val="both"/>
            </w:pPr>
          </w:p>
        </w:tc>
        <w:tc>
          <w:tcPr>
            <w:tcW w:w="624" w:type="dxa"/>
          </w:tcPr>
          <w:p w14:paraId="6F54864B" w14:textId="77777777" w:rsidR="00DE3D2D" w:rsidRPr="00F350CD" w:rsidRDefault="00DE3D2D" w:rsidP="009E7CBC">
            <w:pPr>
              <w:pStyle w:val="TableText"/>
              <w:jc w:val="both"/>
            </w:pPr>
          </w:p>
        </w:tc>
        <w:tc>
          <w:tcPr>
            <w:tcW w:w="624" w:type="dxa"/>
          </w:tcPr>
          <w:p w14:paraId="18B0E229" w14:textId="77777777" w:rsidR="00DE3D2D" w:rsidRPr="00F350CD" w:rsidRDefault="00DE3D2D" w:rsidP="009E7CBC">
            <w:pPr>
              <w:pStyle w:val="TableText"/>
              <w:jc w:val="both"/>
            </w:pPr>
          </w:p>
        </w:tc>
        <w:tc>
          <w:tcPr>
            <w:tcW w:w="624" w:type="dxa"/>
          </w:tcPr>
          <w:p w14:paraId="54E0FC8F" w14:textId="77777777" w:rsidR="00DE3D2D" w:rsidRPr="00F350CD" w:rsidRDefault="00DE3D2D" w:rsidP="009E7CBC">
            <w:pPr>
              <w:pStyle w:val="TableText"/>
              <w:jc w:val="both"/>
            </w:pPr>
          </w:p>
        </w:tc>
        <w:tc>
          <w:tcPr>
            <w:tcW w:w="624" w:type="dxa"/>
          </w:tcPr>
          <w:p w14:paraId="5645E698" w14:textId="77777777" w:rsidR="00DE3D2D" w:rsidRPr="00F350CD" w:rsidRDefault="00DE3D2D" w:rsidP="009E7CBC">
            <w:pPr>
              <w:pStyle w:val="TableText"/>
              <w:jc w:val="both"/>
            </w:pPr>
          </w:p>
        </w:tc>
        <w:tc>
          <w:tcPr>
            <w:tcW w:w="4023" w:type="dxa"/>
            <w:hideMark/>
          </w:tcPr>
          <w:p w14:paraId="52AC3D98" w14:textId="77777777" w:rsidR="00DE3D2D" w:rsidRPr="00F350CD" w:rsidRDefault="00DE3D2D" w:rsidP="008B18DC">
            <w:pPr>
              <w:pStyle w:val="TableBlock"/>
            </w:pPr>
            <w:r w:rsidRPr="00F350CD">
              <w:rPr>
                <w:rtl/>
              </w:rPr>
              <w:t>(ג)</w:t>
            </w:r>
            <w:r w:rsidRPr="00F350CD">
              <w:rPr>
                <w:rtl/>
              </w:rPr>
              <w:tab/>
              <w:t>תוספת של 150 שקלים חדשים לכל יום מילואים מעבר ליום ה-84 לשירות המילואים;</w:t>
            </w:r>
          </w:p>
        </w:tc>
      </w:tr>
      <w:tr w:rsidR="00DE3D2D" w14:paraId="26AB7AE6" w14:textId="77777777" w:rsidTr="008B18DC">
        <w:trPr>
          <w:cantSplit/>
        </w:trPr>
        <w:tc>
          <w:tcPr>
            <w:tcW w:w="1871" w:type="dxa"/>
          </w:tcPr>
          <w:p w14:paraId="5650D170" w14:textId="77777777" w:rsidR="00DE3D2D" w:rsidRPr="00F350CD" w:rsidRDefault="00DE3D2D" w:rsidP="009E7CBC">
            <w:pPr>
              <w:pStyle w:val="TableSideHeading"/>
              <w:rPr>
                <w:rtl/>
              </w:rPr>
            </w:pPr>
          </w:p>
        </w:tc>
        <w:tc>
          <w:tcPr>
            <w:tcW w:w="624" w:type="dxa"/>
          </w:tcPr>
          <w:p w14:paraId="757FA63A" w14:textId="77777777" w:rsidR="00DE3D2D" w:rsidRPr="00F350CD" w:rsidRDefault="00DE3D2D" w:rsidP="009E7CBC">
            <w:pPr>
              <w:pStyle w:val="TableText"/>
              <w:jc w:val="both"/>
            </w:pPr>
          </w:p>
        </w:tc>
        <w:tc>
          <w:tcPr>
            <w:tcW w:w="624" w:type="dxa"/>
          </w:tcPr>
          <w:p w14:paraId="3D18F888" w14:textId="77777777" w:rsidR="00DE3D2D" w:rsidRPr="00F350CD" w:rsidRDefault="00DE3D2D" w:rsidP="009E7CBC">
            <w:pPr>
              <w:pStyle w:val="TableText"/>
              <w:jc w:val="both"/>
            </w:pPr>
          </w:p>
        </w:tc>
        <w:tc>
          <w:tcPr>
            <w:tcW w:w="624" w:type="dxa"/>
          </w:tcPr>
          <w:p w14:paraId="02033DD2" w14:textId="77777777" w:rsidR="00DE3D2D" w:rsidRPr="00F350CD" w:rsidRDefault="00DE3D2D" w:rsidP="009E7CBC">
            <w:pPr>
              <w:pStyle w:val="TableText"/>
              <w:jc w:val="both"/>
            </w:pPr>
          </w:p>
        </w:tc>
        <w:tc>
          <w:tcPr>
            <w:tcW w:w="624" w:type="dxa"/>
          </w:tcPr>
          <w:p w14:paraId="51674E8C" w14:textId="77777777" w:rsidR="00DE3D2D" w:rsidRPr="00F350CD" w:rsidRDefault="00DE3D2D" w:rsidP="009E7CBC">
            <w:pPr>
              <w:pStyle w:val="TableText"/>
              <w:jc w:val="both"/>
            </w:pPr>
          </w:p>
        </w:tc>
        <w:tc>
          <w:tcPr>
            <w:tcW w:w="624" w:type="dxa"/>
          </w:tcPr>
          <w:p w14:paraId="033D1F9E" w14:textId="77777777" w:rsidR="00DE3D2D" w:rsidRPr="00F350CD" w:rsidRDefault="00DE3D2D" w:rsidP="009E7CBC">
            <w:pPr>
              <w:pStyle w:val="TableText"/>
              <w:jc w:val="both"/>
            </w:pPr>
          </w:p>
        </w:tc>
        <w:tc>
          <w:tcPr>
            <w:tcW w:w="4647" w:type="dxa"/>
            <w:gridSpan w:val="2"/>
            <w:hideMark/>
          </w:tcPr>
          <w:p w14:paraId="5AF290D7" w14:textId="77777777" w:rsidR="00DE3D2D" w:rsidRPr="00F350CD" w:rsidRDefault="00DE3D2D" w:rsidP="008B18DC">
            <w:pPr>
              <w:pStyle w:val="TableBlock"/>
            </w:pPr>
            <w:r w:rsidRPr="00F350CD">
              <w:rPr>
                <w:rtl/>
              </w:rPr>
              <w:t>(2)</w:t>
            </w:r>
            <w:r w:rsidRPr="00F350CD">
              <w:rPr>
                <w:rtl/>
              </w:rPr>
              <w:tab/>
              <w:t xml:space="preserve">לגבי חייל מילואים שאינו קצין וממלא תפקיד פיקודי – </w:t>
            </w:r>
          </w:p>
        </w:tc>
      </w:tr>
      <w:tr w:rsidR="00DE3D2D" w14:paraId="3B2B6616" w14:textId="77777777" w:rsidTr="008B18DC">
        <w:trPr>
          <w:cantSplit/>
        </w:trPr>
        <w:tc>
          <w:tcPr>
            <w:tcW w:w="1871" w:type="dxa"/>
          </w:tcPr>
          <w:p w14:paraId="1B969E87" w14:textId="77777777" w:rsidR="00DE3D2D" w:rsidRPr="00F350CD" w:rsidRDefault="00DE3D2D" w:rsidP="009E7CBC">
            <w:pPr>
              <w:pStyle w:val="TableSideHeading"/>
              <w:rPr>
                <w:rtl/>
              </w:rPr>
            </w:pPr>
          </w:p>
        </w:tc>
        <w:tc>
          <w:tcPr>
            <w:tcW w:w="624" w:type="dxa"/>
          </w:tcPr>
          <w:p w14:paraId="7C4C53C4" w14:textId="77777777" w:rsidR="00DE3D2D" w:rsidRPr="00F350CD" w:rsidRDefault="00DE3D2D" w:rsidP="009E7CBC">
            <w:pPr>
              <w:pStyle w:val="TableText"/>
              <w:jc w:val="both"/>
            </w:pPr>
          </w:p>
        </w:tc>
        <w:tc>
          <w:tcPr>
            <w:tcW w:w="624" w:type="dxa"/>
          </w:tcPr>
          <w:p w14:paraId="17368549" w14:textId="77777777" w:rsidR="00DE3D2D" w:rsidRPr="00F350CD" w:rsidRDefault="00DE3D2D" w:rsidP="009E7CBC">
            <w:pPr>
              <w:pStyle w:val="TableText"/>
              <w:jc w:val="both"/>
            </w:pPr>
          </w:p>
        </w:tc>
        <w:tc>
          <w:tcPr>
            <w:tcW w:w="624" w:type="dxa"/>
          </w:tcPr>
          <w:p w14:paraId="21A3F765" w14:textId="77777777" w:rsidR="00DE3D2D" w:rsidRPr="00F350CD" w:rsidRDefault="00DE3D2D" w:rsidP="009E7CBC">
            <w:pPr>
              <w:pStyle w:val="TableText"/>
              <w:jc w:val="both"/>
            </w:pPr>
          </w:p>
        </w:tc>
        <w:tc>
          <w:tcPr>
            <w:tcW w:w="624" w:type="dxa"/>
          </w:tcPr>
          <w:p w14:paraId="2A56A82C" w14:textId="77777777" w:rsidR="00DE3D2D" w:rsidRPr="00F350CD" w:rsidRDefault="00DE3D2D" w:rsidP="009E7CBC">
            <w:pPr>
              <w:pStyle w:val="TableText"/>
              <w:jc w:val="both"/>
            </w:pPr>
          </w:p>
        </w:tc>
        <w:tc>
          <w:tcPr>
            <w:tcW w:w="624" w:type="dxa"/>
          </w:tcPr>
          <w:p w14:paraId="597E6897" w14:textId="77777777" w:rsidR="00DE3D2D" w:rsidRPr="00F350CD" w:rsidRDefault="00DE3D2D" w:rsidP="009E7CBC">
            <w:pPr>
              <w:pStyle w:val="TableText"/>
              <w:jc w:val="both"/>
            </w:pPr>
          </w:p>
        </w:tc>
        <w:tc>
          <w:tcPr>
            <w:tcW w:w="624" w:type="dxa"/>
          </w:tcPr>
          <w:p w14:paraId="617F4311" w14:textId="77777777" w:rsidR="00DE3D2D" w:rsidRPr="00F350CD" w:rsidRDefault="00DE3D2D" w:rsidP="009E7CBC">
            <w:pPr>
              <w:pStyle w:val="TableText"/>
              <w:jc w:val="both"/>
            </w:pPr>
          </w:p>
        </w:tc>
        <w:tc>
          <w:tcPr>
            <w:tcW w:w="4023" w:type="dxa"/>
            <w:hideMark/>
          </w:tcPr>
          <w:p w14:paraId="6A3CD7B0" w14:textId="77777777" w:rsidR="00DE3D2D" w:rsidRPr="00F350CD" w:rsidRDefault="00DE3D2D" w:rsidP="008B18DC">
            <w:pPr>
              <w:pStyle w:val="TableBlock"/>
            </w:pPr>
            <w:r w:rsidRPr="00F350CD">
              <w:rPr>
                <w:rtl/>
              </w:rPr>
              <w:t>(א)</w:t>
            </w:r>
            <w:r w:rsidRPr="00F350CD">
              <w:rPr>
                <w:rtl/>
              </w:rPr>
              <w:tab/>
              <w:t>תוספת של 125 שקלים חדשים לכל יום מילואים החל מהיום ה-70 לשירות המילואים ועד ליום ה-83 לשירות;</w:t>
            </w:r>
          </w:p>
        </w:tc>
      </w:tr>
      <w:tr w:rsidR="00DE3D2D" w14:paraId="6E04B0DD" w14:textId="77777777" w:rsidTr="008B18DC">
        <w:trPr>
          <w:cantSplit/>
        </w:trPr>
        <w:tc>
          <w:tcPr>
            <w:tcW w:w="1871" w:type="dxa"/>
          </w:tcPr>
          <w:p w14:paraId="0AF82A18" w14:textId="77777777" w:rsidR="00DE3D2D" w:rsidRPr="00F350CD" w:rsidRDefault="00DE3D2D" w:rsidP="009E7CBC">
            <w:pPr>
              <w:pStyle w:val="TableSideHeading"/>
            </w:pPr>
          </w:p>
        </w:tc>
        <w:tc>
          <w:tcPr>
            <w:tcW w:w="624" w:type="dxa"/>
          </w:tcPr>
          <w:p w14:paraId="6D7394DC" w14:textId="77777777" w:rsidR="00DE3D2D" w:rsidRPr="00F350CD" w:rsidRDefault="00DE3D2D" w:rsidP="009E7CBC">
            <w:pPr>
              <w:pStyle w:val="TableText"/>
              <w:jc w:val="both"/>
            </w:pPr>
          </w:p>
        </w:tc>
        <w:tc>
          <w:tcPr>
            <w:tcW w:w="624" w:type="dxa"/>
          </w:tcPr>
          <w:p w14:paraId="0622BA54" w14:textId="77777777" w:rsidR="00DE3D2D" w:rsidRPr="00F350CD" w:rsidRDefault="00DE3D2D" w:rsidP="009E7CBC">
            <w:pPr>
              <w:pStyle w:val="TableText"/>
              <w:jc w:val="both"/>
            </w:pPr>
          </w:p>
        </w:tc>
        <w:tc>
          <w:tcPr>
            <w:tcW w:w="624" w:type="dxa"/>
          </w:tcPr>
          <w:p w14:paraId="7D52EC79" w14:textId="77777777" w:rsidR="00DE3D2D" w:rsidRPr="00F350CD" w:rsidRDefault="00DE3D2D" w:rsidP="009E7CBC">
            <w:pPr>
              <w:pStyle w:val="TableText"/>
              <w:jc w:val="both"/>
            </w:pPr>
          </w:p>
        </w:tc>
        <w:tc>
          <w:tcPr>
            <w:tcW w:w="624" w:type="dxa"/>
          </w:tcPr>
          <w:p w14:paraId="7146D47E" w14:textId="77777777" w:rsidR="00DE3D2D" w:rsidRPr="00F350CD" w:rsidRDefault="00DE3D2D" w:rsidP="009E7CBC">
            <w:pPr>
              <w:pStyle w:val="TableText"/>
              <w:jc w:val="both"/>
            </w:pPr>
          </w:p>
        </w:tc>
        <w:tc>
          <w:tcPr>
            <w:tcW w:w="624" w:type="dxa"/>
          </w:tcPr>
          <w:p w14:paraId="4552CD66" w14:textId="77777777" w:rsidR="00DE3D2D" w:rsidRPr="00F350CD" w:rsidRDefault="00DE3D2D" w:rsidP="009E7CBC">
            <w:pPr>
              <w:pStyle w:val="TableText"/>
              <w:jc w:val="both"/>
            </w:pPr>
          </w:p>
        </w:tc>
        <w:tc>
          <w:tcPr>
            <w:tcW w:w="624" w:type="dxa"/>
          </w:tcPr>
          <w:p w14:paraId="149EA3FD" w14:textId="77777777" w:rsidR="00DE3D2D" w:rsidRPr="00F350CD" w:rsidRDefault="00DE3D2D" w:rsidP="009E7CBC">
            <w:pPr>
              <w:pStyle w:val="TableText"/>
              <w:jc w:val="both"/>
            </w:pPr>
          </w:p>
        </w:tc>
        <w:tc>
          <w:tcPr>
            <w:tcW w:w="4023" w:type="dxa"/>
            <w:hideMark/>
          </w:tcPr>
          <w:p w14:paraId="2505E3E6" w14:textId="77777777" w:rsidR="00DE3D2D" w:rsidRPr="00F350CD" w:rsidRDefault="00DE3D2D" w:rsidP="008B18DC">
            <w:pPr>
              <w:pStyle w:val="TableBlock"/>
            </w:pPr>
            <w:r w:rsidRPr="00F350CD">
              <w:rPr>
                <w:rtl/>
              </w:rPr>
              <w:t>(ב)</w:t>
            </w:r>
            <w:r w:rsidRPr="00F350CD">
              <w:rPr>
                <w:rtl/>
              </w:rPr>
              <w:tab/>
              <w:t>תוספת של 150 שקלים חדשים לכל יום מילואים מעבר ליום ה-84 לשירות המילואים;</w:t>
            </w:r>
          </w:p>
        </w:tc>
      </w:tr>
      <w:tr w:rsidR="00DE3D2D" w14:paraId="161BA9F3" w14:textId="77777777" w:rsidTr="008B18DC">
        <w:trPr>
          <w:cantSplit/>
        </w:trPr>
        <w:tc>
          <w:tcPr>
            <w:tcW w:w="1871" w:type="dxa"/>
          </w:tcPr>
          <w:p w14:paraId="450204F9" w14:textId="77777777" w:rsidR="00DE3D2D" w:rsidRPr="00F350CD" w:rsidRDefault="00DE3D2D" w:rsidP="009E7CBC">
            <w:pPr>
              <w:pStyle w:val="TableSideHeading"/>
              <w:rPr>
                <w:rtl/>
              </w:rPr>
            </w:pPr>
          </w:p>
        </w:tc>
        <w:tc>
          <w:tcPr>
            <w:tcW w:w="624" w:type="dxa"/>
          </w:tcPr>
          <w:p w14:paraId="79859381" w14:textId="77777777" w:rsidR="00DE3D2D" w:rsidRPr="00F350CD" w:rsidRDefault="00DE3D2D" w:rsidP="009E7CBC">
            <w:pPr>
              <w:pStyle w:val="TableText"/>
              <w:jc w:val="both"/>
            </w:pPr>
          </w:p>
        </w:tc>
        <w:tc>
          <w:tcPr>
            <w:tcW w:w="624" w:type="dxa"/>
          </w:tcPr>
          <w:p w14:paraId="1478ADE8" w14:textId="77777777" w:rsidR="00DE3D2D" w:rsidRPr="00F350CD" w:rsidRDefault="00DE3D2D" w:rsidP="009E7CBC">
            <w:pPr>
              <w:pStyle w:val="TableText"/>
              <w:jc w:val="both"/>
            </w:pPr>
          </w:p>
        </w:tc>
        <w:tc>
          <w:tcPr>
            <w:tcW w:w="624" w:type="dxa"/>
          </w:tcPr>
          <w:p w14:paraId="74B46270" w14:textId="77777777" w:rsidR="00DE3D2D" w:rsidRPr="00F350CD" w:rsidRDefault="00DE3D2D" w:rsidP="009E7CBC">
            <w:pPr>
              <w:pStyle w:val="TableText"/>
              <w:jc w:val="both"/>
            </w:pPr>
          </w:p>
        </w:tc>
        <w:tc>
          <w:tcPr>
            <w:tcW w:w="624" w:type="dxa"/>
          </w:tcPr>
          <w:p w14:paraId="473155A1" w14:textId="77777777" w:rsidR="00DE3D2D" w:rsidRPr="00F350CD" w:rsidRDefault="00DE3D2D" w:rsidP="009E7CBC">
            <w:pPr>
              <w:pStyle w:val="TableText"/>
              <w:jc w:val="both"/>
            </w:pPr>
          </w:p>
        </w:tc>
        <w:tc>
          <w:tcPr>
            <w:tcW w:w="624" w:type="dxa"/>
          </w:tcPr>
          <w:p w14:paraId="4AAECD8A" w14:textId="77777777" w:rsidR="00DE3D2D" w:rsidRPr="00F350CD" w:rsidRDefault="00DE3D2D" w:rsidP="009E7CBC">
            <w:pPr>
              <w:pStyle w:val="TableText"/>
              <w:jc w:val="both"/>
            </w:pPr>
          </w:p>
        </w:tc>
        <w:tc>
          <w:tcPr>
            <w:tcW w:w="4647" w:type="dxa"/>
            <w:gridSpan w:val="2"/>
            <w:hideMark/>
          </w:tcPr>
          <w:p w14:paraId="2F100EFC" w14:textId="77777777" w:rsidR="00DE3D2D" w:rsidRPr="00F350CD" w:rsidRDefault="00DE3D2D" w:rsidP="008B18DC">
            <w:pPr>
              <w:pStyle w:val="TableBlock"/>
            </w:pPr>
            <w:r w:rsidRPr="00F350CD">
              <w:rPr>
                <w:rtl/>
              </w:rPr>
              <w:t>(3)</w:t>
            </w:r>
            <w:r w:rsidRPr="00F350CD">
              <w:rPr>
                <w:rtl/>
              </w:rPr>
              <w:tab/>
              <w:t>לגבי חייל מילואים שהוא קצין – תוספת של 150 שקלים חדשים לכל יום מילואים מעבר ליום ה-84 לשירות המילואים."</w:t>
            </w:r>
          </w:p>
        </w:tc>
      </w:tr>
    </w:tbl>
    <w:p w14:paraId="7F6961CA" w14:textId="77777777" w:rsidR="002D1EE3" w:rsidRDefault="002D1EE3" w:rsidP="002D1EE3">
      <w:pPr>
        <w:pStyle w:val="HeadDivreiHesber"/>
        <w:rPr>
          <w:rtl/>
        </w:rPr>
      </w:pPr>
      <w:r w:rsidRPr="0027450A">
        <w:rPr>
          <w:rFonts w:hint="cs"/>
          <w:rtl/>
        </w:rPr>
        <w:t>דברי הסבר</w:t>
      </w:r>
    </w:p>
    <w:p w14:paraId="0875F59A" w14:textId="77777777" w:rsidR="00DE3D2D" w:rsidRPr="008B18DC" w:rsidRDefault="00DE3D2D" w:rsidP="008B18DC">
      <w:pPr>
        <w:pStyle w:val="Hesber"/>
      </w:pPr>
      <w:r w:rsidRPr="008B18DC">
        <w:rPr>
          <w:rtl/>
        </w:rPr>
        <w:t xml:space="preserve">חוק שירות המילואים, התשס"ח–2008 (להלן – החוק), קובע מכסת ימי מילואים שנתית ותלת שנתית לכל חייל או קצין. עם זאת, נקבע בחוק מנגנון המאפשר לצה"ל ולמערכת הביטחון לזמן חייל או קצין תוך חריגה ממספר הימים שנקבע לגביהם בסעיף 7(א)(1) לחוק בתקופה של שלוש שנים רצופות. </w:t>
      </w:r>
    </w:p>
    <w:p w14:paraId="305BD0D0" w14:textId="77777777" w:rsidR="00DE3D2D" w:rsidRPr="008B18DC" w:rsidRDefault="00DE3D2D" w:rsidP="008B18DC">
      <w:pPr>
        <w:pStyle w:val="Hesber"/>
        <w:rPr>
          <w:rtl/>
        </w:rPr>
      </w:pPr>
      <w:r w:rsidRPr="008B18DC">
        <w:rPr>
          <w:rtl/>
        </w:rPr>
        <w:t>האפשרות לזמן באופן חריג חייל או קצין במילואים, מחייבת התאמה על ידי מתן תוספת גמול לימי מילואים נוספים.</w:t>
      </w:r>
    </w:p>
    <w:p w14:paraId="4D669A6C" w14:textId="77777777" w:rsidR="00DE3D2D" w:rsidRPr="008B18DC" w:rsidRDefault="00DE3D2D" w:rsidP="008B18DC">
      <w:pPr>
        <w:pStyle w:val="Hesber"/>
        <w:rPr>
          <w:rtl/>
        </w:rPr>
      </w:pPr>
      <w:r w:rsidRPr="008B18DC">
        <w:rPr>
          <w:rtl/>
        </w:rPr>
        <w:t>חריגה בקריאה למספר ימי המילואים מעבר לזו שנקבעה בחוק, משמעותה שקיימת קבוצה של חיילים וקצינים המשרתים במילואים ונושאת בנטל רב מאחרים ועל כך יש לתגמלם.</w:t>
      </w:r>
    </w:p>
    <w:p w14:paraId="743EF96C" w14:textId="77777777" w:rsidR="00DE3D2D" w:rsidRPr="008B18DC" w:rsidRDefault="00DE3D2D" w:rsidP="008B18DC">
      <w:pPr>
        <w:pStyle w:val="Hesber"/>
        <w:rPr>
          <w:rtl/>
        </w:rPr>
      </w:pPr>
      <w:r w:rsidRPr="008B18DC">
        <w:rPr>
          <w:rtl/>
        </w:rPr>
        <w:t>המשמעות לחיילים ולקצינים אלו היא מידית ואישית, היא נוגעת למערכת היחסים במשפחה, בעבודה, בעסק, בלימודים או בכל דבר שמושפע מעצם הגיוס של החייל או הקצין לשירות נוסף מעבר למכסת הימים המקורית.</w:t>
      </w:r>
    </w:p>
    <w:p w14:paraId="2EF39C6C" w14:textId="77777777" w:rsidR="00DE3D2D" w:rsidRPr="008B18DC" w:rsidRDefault="00DE3D2D" w:rsidP="008B18DC">
      <w:pPr>
        <w:pStyle w:val="Hesber"/>
        <w:rPr>
          <w:rtl/>
        </w:rPr>
      </w:pPr>
      <w:r w:rsidRPr="008B18DC">
        <w:rPr>
          <w:rtl/>
        </w:rPr>
        <w:t xml:space="preserve">על כן מוצע לקבוע כי משנקרא חייל מילואים לתקופה העולה על קביעת מכסת הימים הקבועה בחוק, כפי שיימצא בחישוב שייעשה בתום שלוש השנים הרצופות, יתוגמל החייל או הקצין עבור ימי מילואים אלו בהתאם למנגנון המוצע. </w:t>
      </w:r>
    </w:p>
    <w:p w14:paraId="52C49C32" w14:textId="6783F5B0" w:rsidR="00DE3D2D" w:rsidRDefault="00DE3D2D" w:rsidP="005E3142">
      <w:pPr>
        <w:pStyle w:val="Hesber"/>
        <w:rPr>
          <w:rtl/>
        </w:rPr>
      </w:pPr>
      <w:r w:rsidRPr="008B18DC">
        <w:rPr>
          <w:rtl/>
        </w:rPr>
        <w:t>הצעות חוק זהות הונחו על שולחן הכנסת השמונה-עשרה, על שולחן הכנסת התשע-עשרה ועל שולחן הכנסת העשרים על ידי חבר הכנסת איתן כבל וקבוצת חברי הכנסת (פ/3426/18; פ/993/19; פ/1441/20)</w:t>
      </w:r>
      <w:r w:rsidRPr="008B18DC">
        <w:rPr>
          <w:rFonts w:hint="cs"/>
          <w:rtl/>
        </w:rPr>
        <w:t>, על שולחן הכנסת העשרים</w:t>
      </w:r>
      <w:r w:rsidR="008B18DC">
        <w:rPr>
          <w:rFonts w:hint="cs"/>
          <w:rtl/>
        </w:rPr>
        <w:t xml:space="preserve"> </w:t>
      </w:r>
      <w:r w:rsidRPr="008B18DC">
        <w:rPr>
          <w:rFonts w:hint="cs"/>
          <w:rtl/>
        </w:rPr>
        <w:t>ואחת על ידי חבר הכנסת רועי פולקמן (</w:t>
      </w:r>
      <w:r w:rsidRPr="008B18DC">
        <w:rPr>
          <w:rtl/>
        </w:rPr>
        <w:t>פ/283/21</w:t>
      </w:r>
      <w:r w:rsidRPr="008B18DC">
        <w:rPr>
          <w:rFonts w:hint="cs"/>
          <w:rtl/>
        </w:rPr>
        <w:t>), על שולחן הכנסת העשרים ושתיים על ידי חברת הכנסת קרן ברק (פ/451/22)</w:t>
      </w:r>
      <w:r w:rsidR="008B18DC">
        <w:rPr>
          <w:rFonts w:hint="cs"/>
          <w:rtl/>
        </w:rPr>
        <w:t xml:space="preserve"> ו</w:t>
      </w:r>
      <w:r w:rsidR="008B18DC" w:rsidRPr="008B18DC">
        <w:rPr>
          <w:rFonts w:hint="cs"/>
          <w:rtl/>
        </w:rPr>
        <w:t>על ידי חבר הכנסת איציק שמולי (פ/474/22)</w:t>
      </w:r>
      <w:r w:rsidR="005E3142">
        <w:rPr>
          <w:rFonts w:hint="cs"/>
          <w:rtl/>
        </w:rPr>
        <w:t>,</w:t>
      </w:r>
      <w:r w:rsidR="00F42567">
        <w:rPr>
          <w:rFonts w:hint="cs"/>
          <w:rtl/>
        </w:rPr>
        <w:t xml:space="preserve"> ועל שולחן הכנסת העשרים ושלוש על ידי חברת הכנסת קרן ברק (</w:t>
      </w:r>
      <w:r w:rsidR="005E3142" w:rsidRPr="005E3142">
        <w:rPr>
          <w:rtl/>
        </w:rPr>
        <w:t>פ/334/23</w:t>
      </w:r>
      <w:r w:rsidR="00F42567">
        <w:rPr>
          <w:rFonts w:hint="cs"/>
          <w:rtl/>
        </w:rPr>
        <w:t>)</w:t>
      </w:r>
      <w:r w:rsidRPr="008B18DC">
        <w:rPr>
          <w:rFonts w:hint="cs"/>
          <w:rtl/>
        </w:rPr>
        <w:t>.</w:t>
      </w:r>
    </w:p>
    <w:p w14:paraId="025D8E2A" w14:textId="77777777" w:rsidR="005E3142" w:rsidRDefault="005E3142" w:rsidP="005E3142">
      <w:pPr>
        <w:pStyle w:val="Hesber"/>
        <w:rPr>
          <w:rtl/>
        </w:rPr>
      </w:pPr>
    </w:p>
    <w:p w14:paraId="239A7020" w14:textId="77777777" w:rsidR="005E3142" w:rsidRPr="00D73212" w:rsidRDefault="005E3142" w:rsidP="005E3142">
      <w:pPr>
        <w:pStyle w:val="Hesber"/>
        <w:rPr>
          <w:rtl/>
        </w:rPr>
      </w:pPr>
      <w:r w:rsidRPr="00D73212">
        <w:rPr>
          <w:rtl/>
        </w:rPr>
        <w:t>---------------------------------</w:t>
      </w:r>
    </w:p>
    <w:p w14:paraId="76CC4C65" w14:textId="77777777" w:rsidR="005E3142" w:rsidRPr="00D73212" w:rsidRDefault="005E3142" w:rsidP="005E3142">
      <w:pPr>
        <w:pStyle w:val="Hesber"/>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169BB78E" w14:textId="77777777" w:rsidR="005E3142" w:rsidRPr="00D73212" w:rsidRDefault="005E3142" w:rsidP="005E3142">
      <w:pPr>
        <w:pStyle w:val="Hesber"/>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6EDD759C" w14:textId="77777777" w:rsidR="005E3142" w:rsidRPr="00317312" w:rsidRDefault="005E3142" w:rsidP="005E3142">
      <w:pPr>
        <w:pStyle w:val="Hesber"/>
      </w:pPr>
      <w:r>
        <w:rPr>
          <w:rFonts w:hint="cs"/>
          <w:rtl/>
        </w:rPr>
        <w:t xml:space="preserve">י"ז באייר התש"ף </w:t>
      </w:r>
      <w:r w:rsidRPr="00D73212">
        <w:rPr>
          <w:rtl/>
        </w:rPr>
        <w:t>–</w:t>
      </w:r>
      <w:r>
        <w:rPr>
          <w:rFonts w:hint="cs"/>
          <w:rtl/>
        </w:rPr>
        <w:t xml:space="preserve"> 11.5</w:t>
      </w:r>
      <w:r w:rsidRPr="00D73212">
        <w:rPr>
          <w:rtl/>
        </w:rPr>
        <w:t>.</w:t>
      </w:r>
      <w:r>
        <w:rPr>
          <w:rFonts w:hint="cs"/>
          <w:rtl/>
        </w:rPr>
        <w:t xml:space="preserve">20  </w:t>
      </w:r>
    </w:p>
    <w:p w14:paraId="5A239F13" w14:textId="77777777" w:rsidR="005E3142" w:rsidRPr="005E3142" w:rsidRDefault="005E3142" w:rsidP="005E3142">
      <w:pPr>
        <w:pStyle w:val="Hesber"/>
        <w:rPr>
          <w:rtl/>
        </w:rPr>
      </w:pPr>
      <w:bookmarkStart w:id="6" w:name="_GoBack"/>
      <w:bookmarkEnd w:id="6"/>
    </w:p>
    <w:p w14:paraId="5BA91682" w14:textId="77777777" w:rsidR="00DE3D2D" w:rsidRDefault="00DE3D2D" w:rsidP="00DE3D2D">
      <w:pPr>
        <w:pStyle w:val="Hesber"/>
        <w:rPr>
          <w:rtl/>
        </w:rPr>
      </w:pPr>
    </w:p>
    <w:p w14:paraId="7F6961CB" w14:textId="77777777" w:rsidR="00E13C27" w:rsidRDefault="00E13C27" w:rsidP="00E13C27">
      <w:pPr>
        <w:pStyle w:val="Hesber"/>
        <w:rPr>
          <w:rtl/>
        </w:rPr>
      </w:pPr>
    </w:p>
    <w:sectPr w:rsidR="00E13C27" w:rsidSect="008B18DC">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5E3142">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8B18DC">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E537EEF" w14:textId="77777777" w:rsidR="00DE3D2D" w:rsidRDefault="00DE3D2D" w:rsidP="00DE3D2D">
      <w:pPr>
        <w:pStyle w:val="a4"/>
        <w:rPr>
          <w:snapToGrid/>
          <w:rtl/>
        </w:rPr>
      </w:pPr>
      <w:r>
        <w:rPr>
          <w:rStyle w:val="a6"/>
        </w:rPr>
        <w:footnoteRef/>
      </w:r>
      <w:r>
        <w:rPr>
          <w:rtl/>
        </w:rPr>
        <w:t xml:space="preserve"> </w:t>
      </w:r>
      <w:r>
        <w:rPr>
          <w:rFonts w:hint="cs"/>
          <w:rtl/>
        </w:rPr>
        <w:t xml:space="preserve">ס"ח התשס"ח, עמ' 502.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5E3142"/>
    <w:rsid w:val="00624747"/>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B18DC"/>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36E0C"/>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DE3D2D"/>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42567"/>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1C5D2F5D-D99E-4E29-B2CA-BC2A7143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18DC"/>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8B18DC"/>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8B18DC"/>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8B18DC"/>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8B18DC"/>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8B18DC"/>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8B18DC"/>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8B18DC"/>
    <w:rPr>
      <w:sz w:val="36"/>
      <w:szCs w:val="52"/>
    </w:rPr>
  </w:style>
  <w:style w:type="paragraph" w:customStyle="1" w:styleId="Cover3-Haknesset">
    <w:name w:val="Cover 3-Haknesset"/>
    <w:basedOn w:val="Cover1-Reshumot"/>
    <w:rsid w:val="008B18DC"/>
    <w:rPr>
      <w:b/>
      <w:bCs/>
      <w:spacing w:val="60"/>
    </w:rPr>
  </w:style>
  <w:style w:type="paragraph" w:customStyle="1" w:styleId="Cover4-Date">
    <w:name w:val="Cover 4-Date"/>
    <w:basedOn w:val="a"/>
    <w:rsid w:val="008B18DC"/>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8B18DC"/>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8B18DC"/>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8B18DC"/>
    <w:pPr>
      <w:spacing w:before="120" w:after="120"/>
    </w:pPr>
    <w:rPr>
      <w:color w:val="FF0000"/>
      <w:w w:val="80"/>
    </w:rPr>
  </w:style>
  <w:style w:type="paragraph" w:styleId="a3">
    <w:name w:val="endnote text"/>
    <w:basedOn w:val="a"/>
    <w:semiHidden/>
    <w:rsid w:val="008B18DC"/>
    <w:pPr>
      <w:ind w:left="227" w:hanging="227"/>
    </w:pPr>
    <w:rPr>
      <w:sz w:val="14"/>
      <w:szCs w:val="22"/>
    </w:rPr>
  </w:style>
  <w:style w:type="paragraph" w:customStyle="1" w:styleId="TableText">
    <w:name w:val="Table Text"/>
    <w:basedOn w:val="a"/>
    <w:rsid w:val="008B18DC"/>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8B18DC"/>
    <w:pPr>
      <w:outlineLvl w:val="2"/>
    </w:pPr>
  </w:style>
  <w:style w:type="paragraph" w:customStyle="1" w:styleId="TableBlock">
    <w:name w:val="Table Block"/>
    <w:basedOn w:val="TableText"/>
    <w:rsid w:val="008B18DC"/>
    <w:pPr>
      <w:jc w:val="both"/>
    </w:pPr>
  </w:style>
  <w:style w:type="paragraph" w:customStyle="1" w:styleId="TableHead">
    <w:name w:val="Table Head"/>
    <w:basedOn w:val="TableText"/>
    <w:rsid w:val="008B18DC"/>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8B18DC"/>
    <w:pPr>
      <w:outlineLvl w:val="9"/>
    </w:pPr>
  </w:style>
  <w:style w:type="paragraph" w:customStyle="1" w:styleId="Hesber">
    <w:name w:val="Hesber"/>
    <w:basedOn w:val="a"/>
    <w:rsid w:val="008B18DC"/>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8B18DC"/>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8B18DC"/>
    <w:rPr>
      <w:vertAlign w:val="superscript"/>
    </w:rPr>
  </w:style>
  <w:style w:type="paragraph" w:customStyle="1" w:styleId="HesberHeading">
    <w:name w:val="Hesber Heading"/>
    <w:basedOn w:val="Hesber"/>
    <w:rsid w:val="008B18DC"/>
    <w:pPr>
      <w:tabs>
        <w:tab w:val="left" w:pos="624"/>
        <w:tab w:val="left" w:pos="1247"/>
      </w:tabs>
    </w:pPr>
    <w:rPr>
      <w:b/>
      <w:bCs/>
    </w:rPr>
  </w:style>
  <w:style w:type="paragraph" w:customStyle="1" w:styleId="HesberWriters">
    <w:name w:val="Hesber Writers"/>
    <w:basedOn w:val="Hesber"/>
    <w:rsid w:val="008B18DC"/>
    <w:pPr>
      <w:spacing w:before="120" w:after="120"/>
      <w:ind w:left="1418"/>
      <w:jc w:val="right"/>
    </w:pPr>
    <w:rPr>
      <w:b/>
      <w:bCs/>
    </w:rPr>
  </w:style>
  <w:style w:type="paragraph" w:customStyle="1" w:styleId="Hesber1st">
    <w:name w:val="Hesber 1st"/>
    <w:basedOn w:val="Hesber"/>
    <w:rsid w:val="008B18DC"/>
    <w:pPr>
      <w:tabs>
        <w:tab w:val="left" w:pos="680"/>
        <w:tab w:val="left" w:pos="1020"/>
      </w:tabs>
      <w:ind w:firstLine="0"/>
    </w:pPr>
  </w:style>
  <w:style w:type="character" w:styleId="a7">
    <w:name w:val="endnote reference"/>
    <w:basedOn w:val="a0"/>
    <w:semiHidden/>
    <w:rsid w:val="008B18DC"/>
    <w:rPr>
      <w:vertAlign w:val="superscript"/>
    </w:rPr>
  </w:style>
  <w:style w:type="paragraph" w:customStyle="1" w:styleId="TableBlockOutdent">
    <w:name w:val="Table BlockOutdent"/>
    <w:basedOn w:val="TableBlock"/>
    <w:rsid w:val="008B18DC"/>
    <w:pPr>
      <w:ind w:left="624" w:hanging="624"/>
    </w:pPr>
  </w:style>
  <w:style w:type="paragraph" w:styleId="a8">
    <w:name w:val="header"/>
    <w:basedOn w:val="a"/>
    <w:rsid w:val="008B18DC"/>
    <w:pPr>
      <w:tabs>
        <w:tab w:val="center" w:pos="4153"/>
        <w:tab w:val="right" w:pos="8306"/>
      </w:tabs>
    </w:pPr>
  </w:style>
  <w:style w:type="paragraph" w:styleId="a9">
    <w:name w:val="footer"/>
    <w:basedOn w:val="a"/>
    <w:rsid w:val="008B18DC"/>
    <w:pPr>
      <w:tabs>
        <w:tab w:val="center" w:pos="4153"/>
        <w:tab w:val="right" w:pos="8306"/>
      </w:tabs>
    </w:pPr>
  </w:style>
  <w:style w:type="paragraph" w:customStyle="1" w:styleId="HeadDivreiHesber">
    <w:name w:val="Head DivreiHesber"/>
    <w:basedOn w:val="a"/>
    <w:rsid w:val="008B18DC"/>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8B18DC"/>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8B18DC"/>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DE3D2D"/>
    <w:rPr>
      <w:rFonts w:ascii="Arial" w:eastAsia="Arial Unicode MS" w:hAnsi="Arial" w:cs="David"/>
      <w:snapToGrid w:val="0"/>
      <w:sz w:val="14"/>
    </w:rPr>
  </w:style>
  <w:style w:type="character" w:customStyle="1" w:styleId="10">
    <w:name w:val="כותרת 1 תו"/>
    <w:basedOn w:val="a0"/>
    <w:link w:val="1"/>
    <w:uiPriority w:val="9"/>
    <w:rsid w:val="008B18DC"/>
    <w:rPr>
      <w:rFonts w:asciiTheme="majorHAnsi" w:eastAsiaTheme="majorEastAsia" w:hAnsiTheme="majorHAnsi" w:cs="David"/>
      <w:bCs/>
      <w:sz w:val="32"/>
      <w:szCs w:val="36"/>
    </w:rPr>
  </w:style>
  <w:style w:type="character" w:customStyle="1" w:styleId="20">
    <w:name w:val="כותרת 2 תו"/>
    <w:basedOn w:val="a0"/>
    <w:link w:val="2"/>
    <w:rsid w:val="008B18DC"/>
    <w:rPr>
      <w:rFonts w:asciiTheme="majorHAnsi" w:eastAsiaTheme="majorEastAsia" w:hAnsiTheme="majorHAnsi" w:cs="David"/>
      <w:bCs/>
      <w:sz w:val="26"/>
      <w:szCs w:val="36"/>
      <w:u w:val="single"/>
    </w:rPr>
  </w:style>
  <w:style w:type="character" w:customStyle="1" w:styleId="30">
    <w:name w:val="כותרת 3 תו"/>
    <w:basedOn w:val="a0"/>
    <w:link w:val="3"/>
    <w:rsid w:val="008B18DC"/>
    <w:rPr>
      <w:rFonts w:asciiTheme="majorHAnsi" w:eastAsiaTheme="majorEastAsia" w:hAnsiTheme="majorHAnsi" w:cs="David"/>
      <w:sz w:val="24"/>
      <w:szCs w:val="28"/>
      <w:u w:val="double"/>
    </w:rPr>
  </w:style>
  <w:style w:type="character" w:customStyle="1" w:styleId="40">
    <w:name w:val="כותרת 4 תו"/>
    <w:basedOn w:val="a0"/>
    <w:link w:val="4"/>
    <w:uiPriority w:val="9"/>
    <w:rsid w:val="008B18DC"/>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8B18DC"/>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8B18DC"/>
    <w:pPr>
      <w:widowControl/>
      <w:spacing w:before="120" w:after="120"/>
      <w:outlineLvl w:val="9"/>
    </w:pPr>
    <w:rPr>
      <w:rtl/>
      <w:cs/>
    </w:rPr>
  </w:style>
  <w:style w:type="paragraph" w:styleId="TOC1">
    <w:name w:val="toc 1"/>
    <w:basedOn w:val="a"/>
    <w:next w:val="a"/>
    <w:autoRedefine/>
    <w:uiPriority w:val="39"/>
    <w:unhideWhenUsed/>
    <w:rsid w:val="008B18DC"/>
    <w:pPr>
      <w:tabs>
        <w:tab w:val="right" w:leader="dot" w:pos="9629"/>
      </w:tabs>
      <w:spacing w:after="100"/>
    </w:pPr>
    <w:rPr>
      <w:bCs/>
      <w:szCs w:val="22"/>
    </w:rPr>
  </w:style>
  <w:style w:type="paragraph" w:styleId="TOC2">
    <w:name w:val="toc 2"/>
    <w:basedOn w:val="a"/>
    <w:next w:val="a"/>
    <w:uiPriority w:val="39"/>
    <w:unhideWhenUsed/>
    <w:rsid w:val="008B18DC"/>
    <w:pPr>
      <w:tabs>
        <w:tab w:val="right" w:leader="dot" w:pos="9628"/>
      </w:tabs>
      <w:spacing w:after="100"/>
    </w:pPr>
    <w:rPr>
      <w:szCs w:val="22"/>
    </w:rPr>
  </w:style>
  <w:style w:type="character" w:styleId="Hyperlink">
    <w:name w:val="Hyperlink"/>
    <w:basedOn w:val="a0"/>
    <w:uiPriority w:val="99"/>
    <w:unhideWhenUsed/>
    <w:rsid w:val="008B18DC"/>
    <w:rPr>
      <w:color w:val="0000FF" w:themeColor="hyperlink"/>
      <w:u w:val="single"/>
    </w:rPr>
  </w:style>
  <w:style w:type="paragraph" w:styleId="TOC3">
    <w:name w:val="toc 3"/>
    <w:basedOn w:val="a"/>
    <w:next w:val="a"/>
    <w:uiPriority w:val="39"/>
    <w:unhideWhenUsed/>
    <w:rsid w:val="008B18DC"/>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8B18DC"/>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8B18DC"/>
    <w:pPr>
      <w:tabs>
        <w:tab w:val="right" w:leader="dot" w:pos="9628"/>
      </w:tabs>
      <w:spacing w:after="100"/>
      <w:ind w:left="567"/>
    </w:pPr>
    <w:rPr>
      <w:szCs w:val="22"/>
    </w:rPr>
  </w:style>
  <w:style w:type="paragraph" w:styleId="TOC6">
    <w:name w:val="toc 6"/>
    <w:basedOn w:val="a"/>
    <w:next w:val="a"/>
    <w:autoRedefine/>
    <w:semiHidden/>
    <w:unhideWhenUsed/>
    <w:rsid w:val="008B18DC"/>
    <w:pPr>
      <w:spacing w:after="100"/>
      <w:ind w:left="850"/>
    </w:pPr>
  </w:style>
  <w:style w:type="paragraph" w:styleId="TOC7">
    <w:name w:val="toc 7"/>
    <w:basedOn w:val="a"/>
    <w:next w:val="a"/>
    <w:autoRedefine/>
    <w:semiHidden/>
    <w:unhideWhenUsed/>
    <w:rsid w:val="008B18DC"/>
    <w:pPr>
      <w:spacing w:after="100"/>
      <w:ind w:left="1020"/>
    </w:pPr>
  </w:style>
  <w:style w:type="paragraph" w:styleId="TOC8">
    <w:name w:val="toc 8"/>
    <w:basedOn w:val="a"/>
    <w:next w:val="a"/>
    <w:autoRedefine/>
    <w:semiHidden/>
    <w:unhideWhenUsed/>
    <w:rsid w:val="008B18DC"/>
    <w:pPr>
      <w:spacing w:after="100"/>
      <w:ind w:left="1190"/>
    </w:pPr>
  </w:style>
  <w:style w:type="paragraph" w:styleId="TOC9">
    <w:name w:val="toc 9"/>
    <w:basedOn w:val="a"/>
    <w:next w:val="a"/>
    <w:autoRedefine/>
    <w:semiHidden/>
    <w:unhideWhenUsed/>
    <w:rsid w:val="008B18DC"/>
    <w:pPr>
      <w:spacing w:after="100"/>
      <w:ind w:left="1360"/>
    </w:pPr>
  </w:style>
  <w:style w:type="paragraph" w:customStyle="1" w:styleId="TableHead2">
    <w:name w:val="Table Head2"/>
    <w:basedOn w:val="TableHead"/>
    <w:qFormat/>
    <w:rsid w:val="008B18DC"/>
    <w:pPr>
      <w:outlineLvl w:val="9"/>
    </w:pPr>
  </w:style>
  <w:style w:type="paragraph" w:customStyle="1" w:styleId="TableSideHeading2">
    <w:name w:val="Table SideHeading2"/>
    <w:basedOn w:val="TableSideHeading"/>
    <w:autoRedefine/>
    <w:qFormat/>
    <w:rsid w:val="008B18DC"/>
    <w:pPr>
      <w:keepLines w:val="0"/>
      <w:outlineLvl w:val="9"/>
    </w:pPr>
  </w:style>
  <w:style w:type="paragraph" w:customStyle="1" w:styleId="0">
    <w:name w:val="סגנון שורה ראשונה:  0  ס''מ"/>
    <w:basedOn w:val="2"/>
    <w:rsid w:val="008B18DC"/>
    <w:rPr>
      <w:rFonts w:eastAsia="Times New Roman"/>
    </w:rPr>
  </w:style>
  <w:style w:type="paragraph" w:styleId="af">
    <w:name w:val="List Paragraph"/>
    <w:basedOn w:val="a"/>
    <w:uiPriority w:val="34"/>
    <w:qFormat/>
    <w:rsid w:val="008B18DC"/>
    <w:pPr>
      <w:widowControl/>
      <w:spacing w:line="259" w:lineRule="auto"/>
    </w:pPr>
    <w:rPr>
      <w:rFonts w:asciiTheme="minorHAnsi" w:hAnsiTheme="minorHAnsi"/>
      <w:sz w:val="22"/>
    </w:rPr>
  </w:style>
  <w:style w:type="table" w:styleId="af0">
    <w:name w:val="Table Grid"/>
    <w:basedOn w:val="a1"/>
    <w:rsid w:val="008B1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8B18D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8B18D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8B18DC"/>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8B18DC"/>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18EFC1F-6F7F-403E-A946-B119A77F2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41B9D00-FB8F-425F-84CA-417EB7E84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387</Words>
  <Characters>2206</Characters>
  <Application>Microsoft Office Word</Application>
  <DocSecurity>0</DocSecurity>
  <Lines>18</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9</cp:revision>
  <cp:lastPrinted>2013-07-04T08:25:00Z</cp:lastPrinted>
  <dcterms:created xsi:type="dcterms:W3CDTF">2015-04-20T09:58:00Z</dcterms:created>
  <dcterms:modified xsi:type="dcterms:W3CDTF">2020-05-07T08:13:00Z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2086784</vt:r8>
  </property>
</Properties>
</file>