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2086707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ושלוש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איציק שמולי</w:t>
      </w:r>
      <w:bookmarkEnd w:id="3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C" w14:textId="1E0F16AD" w:rsidR="00E13C27" w:rsidRDefault="00904591" w:rsidP="00052E7D">
      <w:pPr>
        <w:pStyle w:val="David"/>
        <w:spacing w:before="0" w:line="240" w:lineRule="auto"/>
        <w:ind w:left="6424" w:firstLine="56"/>
        <w:rPr>
          <w:rtl/>
        </w:rPr>
      </w:pPr>
      <w:bookmarkStart w:id="4" w:name="Private_Number"/>
      <w:r>
        <w:rPr>
          <w:rFonts w:hint="cs"/>
          <w:rtl/>
        </w:rPr>
        <w:t>פ/704/23</w:t>
      </w:r>
      <w:bookmarkEnd w:id="4"/>
    </w:p>
    <w:p w14:paraId="7F6961AD" w14:textId="5F739A6A" w:rsidR="00E13C27" w:rsidRPr="00F67051" w:rsidRDefault="00A443CF" w:rsidP="00B46D50">
      <w:pPr>
        <w:pStyle w:val="HeadHatzaotHok"/>
        <w:rPr>
          <w:rtl/>
        </w:rPr>
      </w:pPr>
      <w:bookmarkStart w:id="5" w:name="LGS_Subject"/>
      <w:r>
        <w:rPr>
          <w:rFonts w:hint="cs"/>
          <w:rtl/>
        </w:rPr>
        <w:t xml:space="preserve">הצעת חוק הרשויות המקומיות (פטור חיילים, נפגעי מלחמה ושוטרים מארנונה) (תיקון </w:t>
      </w:r>
      <w:r w:rsidR="00B46D50">
        <w:rPr>
          <w:rFonts w:hint="eastAsia"/>
          <w:rtl/>
        </w:rPr>
        <w:t>–</w:t>
      </w:r>
      <w:r w:rsidR="00B46D50">
        <w:rPr>
          <w:rFonts w:hint="cs"/>
          <w:rtl/>
        </w:rPr>
        <w:t xml:space="preserve"> </w:t>
      </w:r>
      <w:r>
        <w:rPr>
          <w:rFonts w:hint="cs"/>
          <w:rtl/>
        </w:rPr>
        <w:t xml:space="preserve">פטור לחייל בודד בדירת שותפים), </w:t>
      </w:r>
      <w:proofErr w:type="spellStart"/>
      <w:r>
        <w:rPr>
          <w:rFonts w:hint="cs"/>
          <w:rtl/>
        </w:rPr>
        <w:t>התש"ף</w:t>
      </w:r>
      <w:proofErr w:type="spellEnd"/>
      <w:r w:rsidR="00B46D50">
        <w:rPr>
          <w:rFonts w:hint="eastAsia"/>
          <w:rtl/>
        </w:rPr>
        <w:t>–</w:t>
      </w:r>
      <w:r>
        <w:rPr>
          <w:rFonts w:hint="cs"/>
          <w:rtl/>
        </w:rPr>
        <w:t>2020</w:t>
      </w:r>
      <w:bookmarkEnd w:id="5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880055" w14:paraId="06F4F5B7" w14:textId="77777777" w:rsidTr="00535216">
        <w:trPr>
          <w:cantSplit/>
          <w:trHeight w:val="60"/>
        </w:trPr>
        <w:tc>
          <w:tcPr>
            <w:tcW w:w="1871" w:type="dxa"/>
          </w:tcPr>
          <w:p w14:paraId="6A5B2A17" w14:textId="77777777" w:rsidR="00880055" w:rsidRDefault="00880055" w:rsidP="00535216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6</w:t>
            </w:r>
          </w:p>
        </w:tc>
        <w:tc>
          <w:tcPr>
            <w:tcW w:w="624" w:type="dxa"/>
          </w:tcPr>
          <w:p w14:paraId="466A93F7" w14:textId="77777777" w:rsidR="00880055" w:rsidRDefault="00880055" w:rsidP="00535216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</w:tcPr>
          <w:p w14:paraId="01BB3BE2" w14:textId="77777777" w:rsidR="00880055" w:rsidRPr="00CB2EEA" w:rsidRDefault="00880055" w:rsidP="00535216">
            <w:pPr>
              <w:pStyle w:val="TableBlock"/>
            </w:pPr>
            <w:r w:rsidRPr="00C539DD">
              <w:rPr>
                <w:rFonts w:hint="cs"/>
                <w:rtl/>
              </w:rPr>
              <w:t xml:space="preserve">בחוק </w:t>
            </w:r>
            <w:r>
              <w:rPr>
                <w:rFonts w:hint="cs"/>
                <w:rtl/>
              </w:rPr>
              <w:t xml:space="preserve">הרשויות </w:t>
            </w:r>
            <w:r w:rsidRPr="00A15FF6">
              <w:rPr>
                <w:rFonts w:hint="cs"/>
                <w:rtl/>
              </w:rPr>
              <w:t>המקומיות</w:t>
            </w:r>
            <w:r>
              <w:rPr>
                <w:rFonts w:hint="cs"/>
                <w:rtl/>
              </w:rPr>
              <w:t xml:space="preserve"> (פטור חיילים, נפגעי מלחמה ושוטרים מארנונה)</w:t>
            </w:r>
            <w:r w:rsidRPr="00C539DD">
              <w:rPr>
                <w:rFonts w:hint="cs"/>
                <w:rtl/>
              </w:rPr>
              <w:t xml:space="preserve">, </w:t>
            </w:r>
            <w:proofErr w:type="spellStart"/>
            <w:r w:rsidRPr="00C539DD">
              <w:rPr>
                <w:rFonts w:hint="cs"/>
                <w:rtl/>
              </w:rPr>
              <w:t>ה</w:t>
            </w:r>
            <w:r w:rsidRPr="00AB1E88">
              <w:rPr>
                <w:rtl/>
              </w:rPr>
              <w:t>תשי"ג</w:t>
            </w:r>
            <w:proofErr w:type="spellEnd"/>
            <w:r>
              <w:rPr>
                <w:rFonts w:hint="cs"/>
                <w:rtl/>
              </w:rPr>
              <w:t>–</w:t>
            </w:r>
            <w:r w:rsidRPr="00AB1E88">
              <w:rPr>
                <w:rtl/>
              </w:rPr>
              <w:t>1953</w:t>
            </w:r>
            <w:r>
              <w:rPr>
                <w:rStyle w:val="a5"/>
                <w:rtl/>
              </w:rPr>
              <w:footnoteReference w:id="2"/>
            </w:r>
            <w:r>
              <w:rPr>
                <w:rFonts w:hint="cs"/>
                <w:rtl/>
              </w:rPr>
              <w:t xml:space="preserve">, בסעיף 6, במקום </w:t>
            </w:r>
            <w:proofErr w:type="spellStart"/>
            <w:r>
              <w:rPr>
                <w:rFonts w:hint="cs"/>
                <w:rtl/>
              </w:rPr>
              <w:t>הסיפה</w:t>
            </w:r>
            <w:proofErr w:type="spellEnd"/>
            <w:r>
              <w:rPr>
                <w:rFonts w:hint="cs"/>
                <w:rtl/>
              </w:rPr>
              <w:t xml:space="preserve"> החל מ"אולם" יבוא "ואולם, מחזיק בדירה שהוא חייל בודד כהגדרתו בפקודות הצבא המתגורר בדירה עם דיירים נוספים, יהיה זכאי לפטור לפי חוק זה לגבי 70 מ"ר משטח הדירה."</w:t>
            </w:r>
          </w:p>
        </w:tc>
      </w:tr>
    </w:tbl>
    <w:p w14:paraId="4D179EBE" w14:textId="74EDE1B0" w:rsidR="00880055" w:rsidRDefault="002D1EE3" w:rsidP="00880055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1E31B186" w14:textId="77777777" w:rsidR="00880055" w:rsidRPr="007050C4" w:rsidRDefault="00880055" w:rsidP="00052E7D">
      <w:pPr>
        <w:pStyle w:val="Hesber"/>
        <w:spacing w:line="276" w:lineRule="auto"/>
        <w:rPr>
          <w:rtl/>
        </w:rPr>
      </w:pPr>
      <w:r w:rsidRPr="007050C4">
        <w:rPr>
          <w:rFonts w:hint="eastAsia"/>
          <w:rtl/>
        </w:rPr>
        <w:t>לפי</w:t>
      </w:r>
      <w:r w:rsidRPr="007050C4">
        <w:rPr>
          <w:rtl/>
        </w:rPr>
        <w:t xml:space="preserve"> חוק הרשויות המקומיות (פטור חיילים, נפגעי מלחמה ושוטרים מארנונה), </w:t>
      </w:r>
      <w:proofErr w:type="spellStart"/>
      <w:r w:rsidRPr="007050C4">
        <w:rPr>
          <w:rFonts w:hint="eastAsia"/>
          <w:rtl/>
        </w:rPr>
        <w:t>התשי</w:t>
      </w:r>
      <w:r w:rsidRPr="007050C4">
        <w:rPr>
          <w:rtl/>
        </w:rPr>
        <w:t>"ג</w:t>
      </w:r>
      <w:proofErr w:type="spellEnd"/>
      <w:r w:rsidRPr="007050C4">
        <w:rPr>
          <w:rFonts w:hint="eastAsia"/>
          <w:rtl/>
        </w:rPr>
        <w:t>–</w:t>
      </w:r>
      <w:r w:rsidRPr="007050C4">
        <w:rPr>
          <w:rtl/>
        </w:rPr>
        <w:t xml:space="preserve">1953 (להלן – החוק), זכאים חיילים להנחה בארנונה למשך תקופת שירותם בצה"ל ועד ארבעה חודשים מיום שחרורם. הפטור כאמור ניתן לגבי דירת יחיד ששטחה 70 מ"ר לכל היותר, ולגבי דירת 4 שותפים ומעלה, ניתן הפטור עבור שטח של 90 מ"ר מסך שטח הדירה. עבור מרבית החיילים פטור זה לא רלוונטי, שכן במהלך שירותם הצבאי הם מתגוררים עם משפחותיהם. </w:t>
      </w:r>
    </w:p>
    <w:p w14:paraId="737414A1" w14:textId="77777777" w:rsidR="00880055" w:rsidRPr="007050C4" w:rsidRDefault="00880055" w:rsidP="00052E7D">
      <w:pPr>
        <w:pStyle w:val="Hesber"/>
        <w:spacing w:line="276" w:lineRule="auto"/>
        <w:rPr>
          <w:rtl/>
        </w:rPr>
      </w:pPr>
      <w:r w:rsidRPr="007050C4">
        <w:rPr>
          <w:rFonts w:hint="eastAsia"/>
          <w:rtl/>
        </w:rPr>
        <w:t>ואולם</w:t>
      </w:r>
      <w:r w:rsidRPr="007050C4">
        <w:rPr>
          <w:rtl/>
        </w:rPr>
        <w:t xml:space="preserve">, </w:t>
      </w:r>
      <w:r w:rsidRPr="007050C4">
        <w:rPr>
          <w:rFonts w:hint="eastAsia"/>
          <w:rtl/>
        </w:rPr>
        <w:t>חיילים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בודדים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חוסכים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בזכות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פטור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זה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אלפי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שקלים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לאורך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שירותם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הצבאי</w:t>
      </w:r>
      <w:r w:rsidRPr="007050C4">
        <w:rPr>
          <w:rtl/>
        </w:rPr>
        <w:t>.</w:t>
      </w:r>
    </w:p>
    <w:p w14:paraId="4748521C" w14:textId="77777777" w:rsidR="00880055" w:rsidRPr="007050C4" w:rsidRDefault="00880055" w:rsidP="00052E7D">
      <w:pPr>
        <w:pStyle w:val="Hesber"/>
        <w:spacing w:line="276" w:lineRule="auto"/>
        <w:rPr>
          <w:rtl/>
        </w:rPr>
      </w:pPr>
      <w:r w:rsidRPr="007050C4">
        <w:rPr>
          <w:rFonts w:hint="eastAsia"/>
          <w:rtl/>
        </w:rPr>
        <w:t>יחד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עם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זאת</w:t>
      </w:r>
      <w:r w:rsidRPr="007050C4">
        <w:rPr>
          <w:rtl/>
        </w:rPr>
        <w:t xml:space="preserve">, </w:t>
      </w:r>
      <w:r w:rsidRPr="007050C4">
        <w:rPr>
          <w:rFonts w:hint="eastAsia"/>
          <w:rtl/>
        </w:rPr>
        <w:t>כדי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לא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להישאר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לבד</w:t>
      </w:r>
      <w:r w:rsidRPr="007050C4">
        <w:rPr>
          <w:rtl/>
        </w:rPr>
        <w:t xml:space="preserve">, </w:t>
      </w:r>
      <w:r w:rsidRPr="007050C4">
        <w:rPr>
          <w:rFonts w:hint="eastAsia"/>
          <w:rtl/>
        </w:rPr>
        <w:t>חיילים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בודדים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שוכרים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יחד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דירות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גדולות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ואף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בתים</w:t>
      </w:r>
      <w:r w:rsidRPr="007050C4">
        <w:rPr>
          <w:rtl/>
        </w:rPr>
        <w:t xml:space="preserve">, </w:t>
      </w:r>
      <w:r w:rsidRPr="007050C4">
        <w:rPr>
          <w:rFonts w:hint="eastAsia"/>
          <w:rtl/>
        </w:rPr>
        <w:t>בהם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הם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גרים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עם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שותפים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רבים</w:t>
      </w:r>
      <w:r w:rsidRPr="007050C4">
        <w:rPr>
          <w:rtl/>
        </w:rPr>
        <w:t xml:space="preserve">. </w:t>
      </w:r>
      <w:r w:rsidRPr="007050C4">
        <w:rPr>
          <w:rFonts w:hint="eastAsia"/>
          <w:rtl/>
        </w:rPr>
        <w:t>מאחר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והחוק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קובע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סייג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לגבי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דירות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הגדולות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מ</w:t>
      </w:r>
      <w:r w:rsidRPr="007050C4">
        <w:rPr>
          <w:rtl/>
        </w:rPr>
        <w:t xml:space="preserve">-70 </w:t>
      </w:r>
      <w:r w:rsidRPr="007050C4">
        <w:rPr>
          <w:rFonts w:hint="eastAsia"/>
          <w:rtl/>
        </w:rPr>
        <w:t>מ</w:t>
      </w:r>
      <w:r w:rsidRPr="007050C4">
        <w:rPr>
          <w:rtl/>
        </w:rPr>
        <w:t xml:space="preserve">"ר, </w:t>
      </w:r>
      <w:r w:rsidRPr="007050C4">
        <w:rPr>
          <w:rFonts w:hint="eastAsia"/>
          <w:rtl/>
        </w:rPr>
        <w:t>חיילים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אלו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לא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זכאים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לפטור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מארנונה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ונאלצים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לשלם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את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ההפרש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שמעבר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לפטור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הניתן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בשל</w:t>
      </w:r>
      <w:r w:rsidRPr="007050C4">
        <w:rPr>
          <w:rtl/>
        </w:rPr>
        <w:t xml:space="preserve"> 70 </w:t>
      </w:r>
      <w:r w:rsidRPr="007050C4">
        <w:rPr>
          <w:rFonts w:hint="eastAsia"/>
          <w:rtl/>
        </w:rPr>
        <w:t>מ</w:t>
      </w:r>
      <w:r w:rsidRPr="007050C4">
        <w:rPr>
          <w:rtl/>
        </w:rPr>
        <w:t xml:space="preserve">"ר </w:t>
      </w:r>
      <w:r w:rsidRPr="007050C4">
        <w:rPr>
          <w:rFonts w:hint="eastAsia"/>
          <w:rtl/>
        </w:rPr>
        <w:t>משטח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הדירה</w:t>
      </w:r>
      <w:r w:rsidRPr="007050C4">
        <w:rPr>
          <w:rtl/>
        </w:rPr>
        <w:t>.</w:t>
      </w:r>
    </w:p>
    <w:p w14:paraId="3C82CC1F" w14:textId="77777777" w:rsidR="00880055" w:rsidRPr="007050C4" w:rsidRDefault="00880055" w:rsidP="00052E7D">
      <w:pPr>
        <w:pStyle w:val="Hesber"/>
        <w:spacing w:line="276" w:lineRule="auto"/>
        <w:rPr>
          <w:rtl/>
        </w:rPr>
      </w:pPr>
      <w:r w:rsidRPr="007050C4">
        <w:rPr>
          <w:rFonts w:hint="eastAsia"/>
          <w:rtl/>
        </w:rPr>
        <w:t>לפיכך</w:t>
      </w:r>
      <w:r w:rsidRPr="007050C4">
        <w:rPr>
          <w:rtl/>
        </w:rPr>
        <w:t xml:space="preserve">, </w:t>
      </w:r>
      <w:r w:rsidRPr="007050C4">
        <w:rPr>
          <w:rFonts w:hint="eastAsia"/>
          <w:rtl/>
        </w:rPr>
        <w:t>מוצע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לתקן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את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החוק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ולקבוע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כי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ביחס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לחיילים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בודדים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השוכרים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דירה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עם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דיירים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נוספים</w:t>
      </w:r>
      <w:r w:rsidRPr="007050C4">
        <w:rPr>
          <w:rtl/>
        </w:rPr>
        <w:t xml:space="preserve">,  </w:t>
      </w:r>
      <w:r w:rsidRPr="007050C4">
        <w:rPr>
          <w:rFonts w:hint="eastAsia"/>
          <w:rtl/>
        </w:rPr>
        <w:t>הפטור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י</w:t>
      </w:r>
      <w:bookmarkStart w:id="6" w:name="_GoBack"/>
      <w:bookmarkEnd w:id="6"/>
      <w:r w:rsidRPr="007050C4">
        <w:rPr>
          <w:rFonts w:hint="eastAsia"/>
          <w:rtl/>
        </w:rPr>
        <w:t>חושב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לפי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היחס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בין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שטח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הדירה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לבין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מספר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הדיירים</w:t>
      </w:r>
      <w:r w:rsidRPr="007050C4">
        <w:rPr>
          <w:rtl/>
        </w:rPr>
        <w:t xml:space="preserve">, </w:t>
      </w:r>
      <w:r w:rsidRPr="007050C4">
        <w:rPr>
          <w:rFonts w:hint="eastAsia"/>
          <w:rtl/>
        </w:rPr>
        <w:t>באופן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שיזכה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חיילים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בודדים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השוכרים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דירת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שותפים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בפטור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מלא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על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חלקם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היחסי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בארנונה</w:t>
      </w:r>
      <w:r w:rsidRPr="007050C4">
        <w:rPr>
          <w:rtl/>
        </w:rPr>
        <w:t>.</w:t>
      </w:r>
    </w:p>
    <w:p w14:paraId="00DD93D6" w14:textId="5C2E19DB" w:rsidR="00880055" w:rsidRDefault="00880055" w:rsidP="00052E7D">
      <w:pPr>
        <w:pStyle w:val="Hesber"/>
        <w:spacing w:line="276" w:lineRule="auto"/>
        <w:rPr>
          <w:rtl/>
        </w:rPr>
      </w:pPr>
      <w:r w:rsidRPr="007050C4">
        <w:rPr>
          <w:rFonts w:hint="eastAsia"/>
          <w:rtl/>
        </w:rPr>
        <w:t>הצעות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חוק</w:t>
      </w:r>
      <w:r w:rsidRPr="007050C4">
        <w:rPr>
          <w:rtl/>
        </w:rPr>
        <w:t xml:space="preserve"> </w:t>
      </w:r>
      <w:r w:rsidRPr="007050C4">
        <w:rPr>
          <w:rFonts w:hint="eastAsia"/>
          <w:rtl/>
        </w:rPr>
        <w:t>זהות</w:t>
      </w:r>
      <w:r w:rsidRPr="007050C4">
        <w:rPr>
          <w:rtl/>
        </w:rPr>
        <w:t xml:space="preserve"> הונח</w:t>
      </w:r>
      <w:r w:rsidRPr="007050C4">
        <w:rPr>
          <w:rFonts w:hint="eastAsia"/>
          <w:rtl/>
        </w:rPr>
        <w:t>ו</w:t>
      </w:r>
      <w:r w:rsidRPr="007050C4">
        <w:rPr>
          <w:rtl/>
        </w:rPr>
        <w:t xml:space="preserve"> על שולחן הכנסת העשרים על ידי חברי הכנסת רועי </w:t>
      </w:r>
      <w:proofErr w:type="spellStart"/>
      <w:r w:rsidRPr="007050C4">
        <w:rPr>
          <w:rFonts w:hint="eastAsia"/>
          <w:rtl/>
        </w:rPr>
        <w:t>פולקמן</w:t>
      </w:r>
      <w:proofErr w:type="spellEnd"/>
      <w:r w:rsidRPr="007050C4">
        <w:rPr>
          <w:rtl/>
        </w:rPr>
        <w:t xml:space="preserve"> ומירב בן ארי (פ/</w:t>
      </w:r>
      <w:r w:rsidR="007050C4" w:rsidRPr="007050C4">
        <w:rPr>
          <w:rtl/>
        </w:rPr>
        <w:t>5683</w:t>
      </w:r>
      <w:r w:rsidRPr="007050C4">
        <w:rPr>
          <w:rtl/>
        </w:rPr>
        <w:t xml:space="preserve">/20), על שולחן הכנסת העשרים ואחת על ידי חבר הכנסת רועי </w:t>
      </w:r>
      <w:proofErr w:type="spellStart"/>
      <w:r w:rsidRPr="007050C4">
        <w:rPr>
          <w:rFonts w:hint="eastAsia"/>
          <w:rtl/>
        </w:rPr>
        <w:t>פולקמן</w:t>
      </w:r>
      <w:proofErr w:type="spellEnd"/>
      <w:r w:rsidR="00052E7D">
        <w:rPr>
          <w:rtl/>
        </w:rPr>
        <w:t xml:space="preserve"> (פ/217/21)</w:t>
      </w:r>
      <w:r w:rsidRPr="007050C4">
        <w:rPr>
          <w:rtl/>
        </w:rPr>
        <w:t xml:space="preserve"> ועל שולחן הכנסת העשרים ושת</w:t>
      </w:r>
      <w:r w:rsidR="000E2400">
        <w:rPr>
          <w:rFonts w:hint="cs"/>
          <w:rtl/>
        </w:rPr>
        <w:t>י</w:t>
      </w:r>
      <w:r w:rsidRPr="007050C4">
        <w:rPr>
          <w:rtl/>
        </w:rPr>
        <w:t xml:space="preserve">ים על ידי חבר הכנסת איציק שמולי (פ/812/22). </w:t>
      </w:r>
    </w:p>
    <w:p w14:paraId="2FC2FF2F" w14:textId="77777777" w:rsidR="00052E7D" w:rsidRDefault="00052E7D" w:rsidP="00052E7D">
      <w:pPr>
        <w:pStyle w:val="Hesber"/>
        <w:spacing w:line="276" w:lineRule="auto"/>
        <w:rPr>
          <w:rtl/>
        </w:rPr>
      </w:pPr>
    </w:p>
    <w:p w14:paraId="1AA22493" w14:textId="77777777" w:rsidR="00052E7D" w:rsidRPr="00D73212" w:rsidRDefault="00052E7D" w:rsidP="00052E7D">
      <w:pPr>
        <w:pStyle w:val="Hesber"/>
        <w:spacing w:line="276" w:lineRule="auto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5961CEF4" w14:textId="77777777" w:rsidR="00052E7D" w:rsidRPr="00D73212" w:rsidRDefault="00052E7D" w:rsidP="00052E7D">
      <w:pPr>
        <w:pStyle w:val="Hesber"/>
        <w:spacing w:line="276" w:lineRule="auto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184D3F49" w14:textId="77777777" w:rsidR="00052E7D" w:rsidRPr="00D73212" w:rsidRDefault="00052E7D" w:rsidP="00052E7D">
      <w:pPr>
        <w:pStyle w:val="Hesber"/>
        <w:spacing w:line="276" w:lineRule="auto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66C47AA6" w14:textId="11755E33" w:rsidR="00052E7D" w:rsidRPr="00052E7D" w:rsidRDefault="00052E7D" w:rsidP="00052E7D">
      <w:pPr>
        <w:pStyle w:val="Hesber"/>
        <w:spacing w:line="276" w:lineRule="auto"/>
        <w:rPr>
          <w:rtl/>
        </w:rPr>
      </w:pPr>
      <w:r>
        <w:rPr>
          <w:rFonts w:hint="cs"/>
          <w:color w:val="auto"/>
          <w:rtl/>
          <w:lang w:eastAsia="en-US"/>
        </w:rPr>
        <w:t xml:space="preserve">י"ז באייר </w:t>
      </w:r>
      <w:proofErr w:type="spellStart"/>
      <w:r>
        <w:rPr>
          <w:rFonts w:hint="cs"/>
          <w:color w:val="auto"/>
          <w:rtl/>
          <w:lang w:eastAsia="en-US"/>
        </w:rPr>
        <w:t>התש"ף</w:t>
      </w:r>
      <w:proofErr w:type="spellEnd"/>
      <w:r>
        <w:rPr>
          <w:rFonts w:hint="cs"/>
          <w:color w:val="auto"/>
          <w:rtl/>
          <w:lang w:eastAsia="en-US"/>
        </w:rPr>
        <w:t xml:space="preserve"> </w:t>
      </w:r>
      <w:r w:rsidRPr="00D73212">
        <w:rPr>
          <w:color w:val="auto"/>
          <w:rtl/>
          <w:lang w:eastAsia="en-US"/>
        </w:rPr>
        <w:t>–</w:t>
      </w:r>
      <w:r>
        <w:rPr>
          <w:rFonts w:hint="cs"/>
          <w:color w:val="auto"/>
          <w:rtl/>
          <w:lang w:eastAsia="en-US"/>
        </w:rPr>
        <w:t xml:space="preserve"> 11.5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 xml:space="preserve">20  </w:t>
      </w:r>
    </w:p>
    <w:p w14:paraId="7F6961CB" w14:textId="77777777" w:rsidR="00E13C27" w:rsidRDefault="00E13C27" w:rsidP="00E13C27">
      <w:pPr>
        <w:pStyle w:val="Hesber"/>
        <w:rPr>
          <w:rtl/>
        </w:rPr>
      </w:pPr>
    </w:p>
    <w:sectPr w:rsidR="00E13C27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052E7D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7E833230" w14:textId="77777777" w:rsidR="00880055" w:rsidRDefault="00880055" w:rsidP="00880055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התשי"ג</w:t>
      </w:r>
      <w:proofErr w:type="spellEnd"/>
      <w:r>
        <w:rPr>
          <w:rFonts w:hint="cs"/>
          <w:rtl/>
        </w:rPr>
        <w:t>, עמ' 62.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52E7D"/>
    <w:rsid w:val="00063A3E"/>
    <w:rsid w:val="00072CAC"/>
    <w:rsid w:val="0007681A"/>
    <w:rsid w:val="000A542E"/>
    <w:rsid w:val="000E2400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50C4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80055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AF66A2"/>
    <w:rsid w:val="00B10265"/>
    <w:rsid w:val="00B16A99"/>
    <w:rsid w:val="00B21211"/>
    <w:rsid w:val="00B35784"/>
    <w:rsid w:val="00B46D50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B45914AC-BB21-4314-903A-5844C59B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6E9C754E1F7C4C891E9EE2E0AF8150" ma:contentTypeVersion="" ma:contentTypeDescription="צור מסמך חדש." ma:contentTypeScope="" ma:versionID="b2c52f23e7867aea476dda019525fa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3BE1C55-7EA3-46B9-8CF3-B29F1C2ED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4F1542-1F6C-4656-B191-AD4CC949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טליה דניאלה ווייס עמר</cp:lastModifiedBy>
  <cp:revision>8</cp:revision>
  <cp:lastPrinted>2013-07-04T08:25:00Z</cp:lastPrinted>
  <dcterms:created xsi:type="dcterms:W3CDTF">2015-04-20T09:58:00Z</dcterms:created>
  <dcterms:modified xsi:type="dcterms:W3CDTF">2020-05-07T08:00:00Z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0x0101003D6E9C754E1F7C4C891E9EE2E0AF8150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2086707</vt:r8>
  </property>
</Properties>
</file>