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61A1" w14:textId="77777777" w:rsidR="002C2E29" w:rsidRPr="00E635A2" w:rsidRDefault="004033D8" w:rsidP="00E635A2">
      <w:pPr>
        <w:jc w:val="right"/>
        <w:rPr>
          <w:rFonts w:cs="David"/>
          <w:b/>
          <w:bCs/>
          <w:sz w:val="20"/>
          <w:szCs w:val="20"/>
        </w:rPr>
      </w:pPr>
      <w:r w:rsidRPr="00E635A2">
        <w:rPr>
          <w:rFonts w:cs="David" w:hint="cs"/>
          <w:sz w:val="20"/>
          <w:szCs w:val="20"/>
          <w:rtl/>
        </w:rPr>
        <w:t xml:space="preserve">מספר פנימי: </w:t>
      </w:r>
      <w:bookmarkStart w:id="0" w:name="LGS_Internal_ID"/>
      <w:r>
        <w:rPr>
          <w:rFonts w:cs="David" w:hint="cs"/>
          <w:sz w:val="20"/>
          <w:szCs w:val="20"/>
          <w:rtl/>
        </w:rPr>
        <w:t>2087709</w:t>
      </w:r>
      <w:bookmarkEnd w:id="0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1" w:name="LGS_Knesset_Num"/>
      <w:r>
        <w:rPr>
          <w:rFonts w:hint="cs"/>
          <w:sz w:val="28"/>
          <w:szCs w:val="28"/>
          <w:rtl/>
        </w:rPr>
        <w:t>העשרים ושלוש</w:t>
      </w:r>
      <w:bookmarkEnd w:id="1"/>
    </w:p>
    <w:p w14:paraId="7F6961A3" w14:textId="77777777" w:rsidR="00E13C27" w:rsidRPr="00F67051" w:rsidRDefault="00E13C27" w:rsidP="00E13C27">
      <w:pPr>
        <w:rPr>
          <w:rFonts w:cs="David"/>
          <w:b/>
          <w:bCs/>
          <w:sz w:val="26"/>
          <w:szCs w:val="26"/>
          <w:rtl/>
        </w:rPr>
      </w:pPr>
    </w:p>
    <w:p w14:paraId="7F6961A6" w14:textId="77777777" w:rsidR="00E13C27" w:rsidRDefault="008F6665" w:rsidP="00930EFE">
      <w:pPr>
        <w:pStyle w:val="David"/>
        <w:spacing w:line="360" w:lineRule="auto"/>
        <w:ind w:left="3544"/>
        <w:rPr>
          <w:b/>
          <w:bCs/>
          <w:rtl/>
        </w:rPr>
      </w:pPr>
      <w:bookmarkStart w:id="2" w:name="LGS_Initiators_List"/>
      <w:r>
        <w:rPr>
          <w:b/>
          <w:bCs/>
          <w:rtl/>
        </w:rPr>
        <w:t>יוזמים:      חברי הכנסת</w:t>
      </w:r>
      <w:bookmarkEnd w:id="2"/>
      <w:r w:rsidR="00B35784" w:rsidRPr="00F67051">
        <w:rPr>
          <w:b/>
          <w:bCs/>
        </w:rPr>
        <w:tab/>
      </w:r>
      <w:bookmarkStart w:id="3" w:name="LGS_PM_Names"/>
      <w:r>
        <w:rPr>
          <w:rFonts w:hint="cs"/>
          <w:b/>
          <w:bCs/>
          <w:rtl/>
        </w:rPr>
        <w:t>גדעון סער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מאי גולן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יואב קיש</w:t>
      </w:r>
      <w:bookmarkEnd w:id="3"/>
    </w:p>
    <w:p w14:paraId="7F6961AA" w14:textId="062C31A5" w:rsidR="00E13C27" w:rsidRPr="00CF1AA2" w:rsidRDefault="002200A1" w:rsidP="0036422C">
      <w:pPr>
        <w:pStyle w:val="David"/>
        <w:spacing w:before="0" w:line="360" w:lineRule="auto"/>
        <w:ind w:left="3544"/>
        <w:rPr>
          <w:b/>
          <w:bCs/>
          <w:sz w:val="16"/>
          <w:szCs w:val="16"/>
          <w:rtl/>
        </w:rPr>
      </w:pPr>
      <w:r w:rsidRPr="00CF1AA2">
        <w:rPr>
          <w:rFonts w:hint="cs"/>
          <w:rtl/>
        </w:rPr>
        <w:tab/>
      </w:r>
      <w:bookmarkStart w:id="4" w:name="LGS_PM_NamesJoin"/>
      <w:r w:rsidR="007D585A">
        <w:rPr>
          <w:rFonts w:hint="cs"/>
          <w:rtl/>
        </w:rPr>
        <w:t xml:space="preserve"> </w:t>
      </w:r>
      <w:bookmarkEnd w:id="4"/>
    </w:p>
    <w:p w14:paraId="34DB4103" w14:textId="77777777" w:rsidR="00904591" w:rsidRPr="00904591" w:rsidRDefault="00266D86" w:rsidP="0036422C">
      <w:pPr>
        <w:pStyle w:val="David"/>
        <w:spacing w:before="0" w:line="360" w:lineRule="auto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B" w14:textId="256138AA" w:rsidR="00E13C27" w:rsidRPr="00E06736" w:rsidRDefault="00904591" w:rsidP="00904591">
      <w:pPr>
        <w:pStyle w:val="David"/>
        <w:spacing w:before="0" w:line="240" w:lineRule="auto"/>
        <w:ind w:left="3544"/>
        <w:rPr>
          <w:rtl/>
        </w:rPr>
      </w:pPr>
      <w:r>
        <w:t xml:space="preserve">                                            </w:t>
      </w:r>
      <w:r w:rsidR="008F1308">
        <w:t xml:space="preserve"> </w:t>
      </w:r>
      <w:bookmarkStart w:id="5" w:name="Private_Number"/>
      <w:r>
        <w:rPr>
          <w:rFonts w:hint="cs"/>
          <w:rtl/>
        </w:rPr>
        <w:t>פ/534/23</w:t>
      </w:r>
      <w:bookmarkEnd w:id="5"/>
    </w:p>
    <w:p w14:paraId="7F6961AC" w14:textId="77777777" w:rsidR="00E13C27" w:rsidRDefault="00E13C27" w:rsidP="00E13C27">
      <w:pPr>
        <w:spacing w:before="0" w:line="360" w:lineRule="auto"/>
        <w:ind w:left="2880" w:firstLine="720"/>
        <w:rPr>
          <w:rFonts w:cs="David"/>
          <w:sz w:val="26"/>
          <w:szCs w:val="26"/>
          <w:rtl/>
        </w:rPr>
      </w:pPr>
    </w:p>
    <w:p w14:paraId="167FEDC9" w14:textId="77777777" w:rsidR="00A57161" w:rsidRDefault="00A57161" w:rsidP="00A57161">
      <w:pPr>
        <w:pStyle w:val="HeadHatzaotHok"/>
        <w:rPr>
          <w:rtl/>
        </w:rPr>
      </w:pPr>
      <w:r>
        <w:rPr>
          <w:rFonts w:hint="cs"/>
          <w:rtl/>
        </w:rPr>
        <w:t>הצעת חוק-יסוד: כבוד האדם וחירותו (תיקון – תוקפו של חוק חורג בעניין מסתננים)</w:t>
      </w:r>
    </w:p>
    <w:tbl>
      <w:tblPr>
        <w:bidiVisual/>
        <w:tblW w:w="9638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624"/>
        <w:gridCol w:w="1870"/>
        <w:gridCol w:w="624"/>
        <w:gridCol w:w="4650"/>
      </w:tblGrid>
      <w:tr w:rsidR="00A57161" w14:paraId="55861E21" w14:textId="77777777" w:rsidTr="00F37387">
        <w:trPr>
          <w:cantSplit/>
        </w:trPr>
        <w:tc>
          <w:tcPr>
            <w:tcW w:w="1870" w:type="dxa"/>
          </w:tcPr>
          <w:p w14:paraId="44D1F7B5" w14:textId="77777777" w:rsidR="00A57161" w:rsidRDefault="00A57161" w:rsidP="00F37387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>הוספת סעיף 13</w:t>
            </w:r>
          </w:p>
        </w:tc>
        <w:tc>
          <w:tcPr>
            <w:tcW w:w="624" w:type="dxa"/>
          </w:tcPr>
          <w:p w14:paraId="4618C3BA" w14:textId="77777777" w:rsidR="00A57161" w:rsidRDefault="00A57161" w:rsidP="00F37387">
            <w:pPr>
              <w:pStyle w:val="TableText"/>
              <w:keepLines w:val="0"/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7144" w:type="dxa"/>
            <w:gridSpan w:val="3"/>
          </w:tcPr>
          <w:p w14:paraId="3F19A2C4" w14:textId="77777777" w:rsidR="00A57161" w:rsidRPr="00DB3DB2" w:rsidRDefault="00A57161" w:rsidP="00F37387">
            <w:pPr>
              <w:pStyle w:val="TableHead"/>
              <w:jc w:val="both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rtl/>
              </w:rPr>
              <w:t>בחוק-יסוד: כבוד האדם וחירותו</w:t>
            </w:r>
            <w:r>
              <w:rPr>
                <w:rStyle w:val="a6"/>
                <w:b w:val="0"/>
                <w:bCs w:val="0"/>
                <w:rtl/>
              </w:rPr>
              <w:footnoteReference w:id="2"/>
            </w:r>
            <w:r>
              <w:rPr>
                <w:rFonts w:hint="cs"/>
                <w:b w:val="0"/>
                <w:bCs w:val="0"/>
                <w:rtl/>
              </w:rPr>
              <w:t>, אחרי סעיף 12 יבוא:</w:t>
            </w:r>
          </w:p>
        </w:tc>
      </w:tr>
      <w:tr w:rsidR="00A57161" w:rsidRPr="00382B5C" w14:paraId="4619EB2E" w14:textId="77777777" w:rsidTr="00F37387">
        <w:trPr>
          <w:cantSplit/>
        </w:trPr>
        <w:tc>
          <w:tcPr>
            <w:tcW w:w="1870" w:type="dxa"/>
          </w:tcPr>
          <w:p w14:paraId="153ECB88" w14:textId="77777777" w:rsidR="00A57161" w:rsidRDefault="00A57161" w:rsidP="00F37387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14:paraId="2512D755" w14:textId="77777777" w:rsidR="00A57161" w:rsidRDefault="00A57161" w:rsidP="00F37387">
            <w:pPr>
              <w:pStyle w:val="TableText"/>
              <w:keepLines w:val="0"/>
            </w:pPr>
          </w:p>
        </w:tc>
        <w:tc>
          <w:tcPr>
            <w:tcW w:w="1870" w:type="dxa"/>
          </w:tcPr>
          <w:p w14:paraId="5EDB90D3" w14:textId="77777777" w:rsidR="00A57161" w:rsidRDefault="00A57161" w:rsidP="00F37387">
            <w:pPr>
              <w:pStyle w:val="TableInnerSideHeading"/>
            </w:pPr>
            <w:r>
              <w:rPr>
                <w:rFonts w:hint="cs"/>
                <w:rtl/>
              </w:rPr>
              <w:t xml:space="preserve">"תוקפו של חוק חורג בנושא מסתננים </w:t>
            </w:r>
          </w:p>
        </w:tc>
        <w:tc>
          <w:tcPr>
            <w:tcW w:w="624" w:type="dxa"/>
          </w:tcPr>
          <w:p w14:paraId="284FCA4B" w14:textId="77777777" w:rsidR="00A57161" w:rsidRPr="00DB3DB2" w:rsidRDefault="00A57161" w:rsidP="00F37387">
            <w:pPr>
              <w:pStyle w:val="TableText"/>
            </w:pPr>
            <w:r>
              <w:rPr>
                <w:rFonts w:hint="cs"/>
                <w:rtl/>
              </w:rPr>
              <w:t>13.</w:t>
            </w:r>
          </w:p>
        </w:tc>
        <w:tc>
          <w:tcPr>
            <w:tcW w:w="4650" w:type="dxa"/>
          </w:tcPr>
          <w:p w14:paraId="18105858" w14:textId="77777777" w:rsidR="00A57161" w:rsidRDefault="00A57161" w:rsidP="00F37387">
            <w:pPr>
              <w:pStyle w:val="TableBlock"/>
            </w:pPr>
            <w:r>
              <w:rPr>
                <w:rFonts w:hint="cs"/>
                <w:rtl/>
              </w:rPr>
              <w:t>הוראת חוק שעניינה מניעת הסתננות לישראל והבטחת יציאה מישראל של מסתננים, ובכלל זה הוראה העוסקת בתקופת שהותם בישראל, הפוגעת בזכויות לפי חוק-יסוד זה תהיה תקפה אף אם אינה בהתאם לסעיף 8, אם נכללה בחוק שנתקבל ברוב של חברי הכנסת ונאמר בה במפורש, שהוא תקף על אף האמור בחוק-יסוד זה; תוקפו של חוק כאמור יפקע בתום ארבע שנים מיום תחילתו, זולת אם נקבע בו מועד מוקדם יותר."</w:t>
            </w:r>
          </w:p>
        </w:tc>
      </w:tr>
    </w:tbl>
    <w:p w14:paraId="7F6961AE" w14:textId="77777777" w:rsidR="00E13C27" w:rsidRPr="00A57161" w:rsidRDefault="00E13C27" w:rsidP="0021633A">
      <w:pPr>
        <w:pStyle w:val="HeadDivreiHesber"/>
        <w:spacing w:before="0" w:after="0"/>
        <w:rPr>
          <w:rtl/>
        </w:rPr>
      </w:pPr>
    </w:p>
    <w:p w14:paraId="7F6961CA" w14:textId="77777777" w:rsidR="002D1EE3" w:rsidRDefault="002D1EE3" w:rsidP="002D1EE3">
      <w:pPr>
        <w:pStyle w:val="HeadDivreiHesber"/>
        <w:rPr>
          <w:rtl/>
        </w:rPr>
      </w:pPr>
      <w:r w:rsidRPr="0027450A">
        <w:rPr>
          <w:rFonts w:hint="cs"/>
          <w:rtl/>
        </w:rPr>
        <w:t>דברי הסבר</w:t>
      </w:r>
    </w:p>
    <w:p w14:paraId="1CD67506" w14:textId="21140787" w:rsidR="00A57161" w:rsidRPr="00100E1E" w:rsidRDefault="00A57161" w:rsidP="00C71FB9">
      <w:pPr>
        <w:pStyle w:val="Hesber"/>
        <w:ind w:firstLine="0"/>
        <w:rPr>
          <w:rtl/>
        </w:rPr>
      </w:pPr>
      <w:r w:rsidRPr="00100E1E">
        <w:rPr>
          <w:rtl/>
        </w:rPr>
        <w:t xml:space="preserve">כחלק מניסיון המדינה </w:t>
      </w:r>
      <w:r w:rsidRPr="00100E1E">
        <w:rPr>
          <w:rFonts w:hint="cs"/>
          <w:rtl/>
        </w:rPr>
        <w:t>למצוא פתרון</w:t>
      </w:r>
      <w:r w:rsidRPr="00100E1E">
        <w:rPr>
          <w:rtl/>
        </w:rPr>
        <w:t xml:space="preserve"> </w:t>
      </w:r>
      <w:r w:rsidRPr="00100E1E">
        <w:rPr>
          <w:rFonts w:hint="cs"/>
          <w:rtl/>
        </w:rPr>
        <w:t>ל</w:t>
      </w:r>
      <w:r w:rsidRPr="00100E1E">
        <w:rPr>
          <w:rtl/>
        </w:rPr>
        <w:t>בעיית ההסתננות</w:t>
      </w:r>
      <w:r w:rsidRPr="00100E1E">
        <w:rPr>
          <w:rFonts w:hint="cs"/>
          <w:rtl/>
        </w:rPr>
        <w:t xml:space="preserve"> הבלתי חוקית</w:t>
      </w:r>
      <w:r w:rsidRPr="00100E1E">
        <w:rPr>
          <w:rtl/>
        </w:rPr>
        <w:t xml:space="preserve"> מאפריקה לישראל</w:t>
      </w:r>
      <w:r w:rsidRPr="00100E1E">
        <w:rPr>
          <w:rFonts w:hint="cs"/>
          <w:rtl/>
        </w:rPr>
        <w:t>, חוקקה הכנסת בשנים האחרונות מספר תיקונים לחוק למניעת הסתננות (עבירות ושיפוט), התשי"ד</w:t>
      </w:r>
      <w:r w:rsidRPr="00100E1E">
        <w:rPr>
          <w:rFonts w:hint="eastAsia"/>
          <w:rtl/>
        </w:rPr>
        <w:t>–</w:t>
      </w:r>
      <w:r w:rsidRPr="00100E1E">
        <w:rPr>
          <w:rFonts w:hint="cs"/>
          <w:rtl/>
        </w:rPr>
        <w:t xml:space="preserve">1954, אשר </w:t>
      </w:r>
      <w:r w:rsidRPr="00100E1E">
        <w:rPr>
          <w:rtl/>
        </w:rPr>
        <w:t>נפסלו על ידי בג"ץ</w:t>
      </w:r>
      <w:r w:rsidRPr="00100E1E">
        <w:t xml:space="preserve"> </w:t>
      </w:r>
      <w:r w:rsidRPr="00100E1E">
        <w:rPr>
          <w:rtl/>
        </w:rPr>
        <w:t>בנימוק שיש בהם סתירה לחוק</w:t>
      </w:r>
      <w:r w:rsidRPr="00100E1E">
        <w:rPr>
          <w:rFonts w:hint="cs"/>
          <w:rtl/>
        </w:rPr>
        <w:t>-</w:t>
      </w:r>
      <w:r w:rsidRPr="00100E1E">
        <w:rPr>
          <w:rtl/>
        </w:rPr>
        <w:t>יסוד: כבוד האדם וחירותו</w:t>
      </w:r>
      <w:r w:rsidRPr="00100E1E">
        <w:rPr>
          <w:rFonts w:hint="cs"/>
          <w:rtl/>
        </w:rPr>
        <w:t>. בין השאר, נפסלו הוראות החוק בנושא מתקן השהיה בחולות, אורך המאסר למסתנן בלתי חוקי ולאחרונה חוק הפיקדון למסתננים (תיקון מס' 18 לחוק עובדים זרים)</w:t>
      </w:r>
      <w:r w:rsidR="00100E1E">
        <w:rPr>
          <w:rFonts w:hint="cs"/>
          <w:rtl/>
        </w:rPr>
        <w:t>.</w:t>
      </w:r>
    </w:p>
    <w:p w14:paraId="6A5424D8" w14:textId="274F07BC" w:rsidR="00A57161" w:rsidRPr="00100E1E" w:rsidRDefault="00A57161" w:rsidP="00100E1E">
      <w:pPr>
        <w:pStyle w:val="Hesber"/>
        <w:rPr>
          <w:rtl/>
        </w:rPr>
      </w:pPr>
      <w:r w:rsidRPr="00100E1E">
        <w:rPr>
          <w:rtl/>
        </w:rPr>
        <w:t xml:space="preserve">הפתרון המוצע בהצעה </w:t>
      </w:r>
      <w:r w:rsidRPr="00100E1E">
        <w:rPr>
          <w:rFonts w:hint="cs"/>
          <w:rtl/>
        </w:rPr>
        <w:t xml:space="preserve">חוק </w:t>
      </w:r>
      <w:r w:rsidRPr="00100E1E">
        <w:rPr>
          <w:rtl/>
        </w:rPr>
        <w:t xml:space="preserve">זו דומה בעיקרו למודל הקיים בקנדה </w:t>
      </w:r>
      <w:r w:rsidRPr="00100E1E">
        <w:rPr>
          <w:rFonts w:hint="cs"/>
          <w:rtl/>
        </w:rPr>
        <w:t xml:space="preserve">בצורה רחבה </w:t>
      </w:r>
      <w:r w:rsidRPr="00100E1E">
        <w:rPr>
          <w:rtl/>
        </w:rPr>
        <w:t>וא</w:t>
      </w:r>
      <w:r w:rsidR="00DD11F2">
        <w:rPr>
          <w:rtl/>
        </w:rPr>
        <w:t>שר התקבל במדינת ישראל ביחס לחוק</w:t>
      </w:r>
      <w:r w:rsidR="00DD11F2">
        <w:rPr>
          <w:rFonts w:hint="cs"/>
          <w:rtl/>
        </w:rPr>
        <w:t>-</w:t>
      </w:r>
      <w:r w:rsidRPr="00100E1E">
        <w:rPr>
          <w:rtl/>
        </w:rPr>
        <w:t>יסוד</w:t>
      </w:r>
      <w:r w:rsidR="00DD11F2">
        <w:rPr>
          <w:rFonts w:hint="cs"/>
          <w:rtl/>
        </w:rPr>
        <w:t>:</w:t>
      </w:r>
      <w:r w:rsidRPr="00100E1E">
        <w:rPr>
          <w:rtl/>
        </w:rPr>
        <w:t xml:space="preserve"> חופש העיסוק</w:t>
      </w:r>
      <w:r w:rsidRPr="00100E1E">
        <w:rPr>
          <w:rFonts w:hint="cs"/>
          <w:rtl/>
        </w:rPr>
        <w:t xml:space="preserve"> בלבד וזאת על מנת לפתור את סוגיית איסור ייבוא החזיר בשנת 1994</w:t>
      </w:r>
      <w:r w:rsidRPr="00100E1E">
        <w:rPr>
          <w:rtl/>
        </w:rPr>
        <w:t xml:space="preserve">. </w:t>
      </w:r>
    </w:p>
    <w:p w14:paraId="37A79C75" w14:textId="5406F45F" w:rsidR="00A57161" w:rsidRPr="00100E1E" w:rsidRDefault="00A57161" w:rsidP="00C71FB9">
      <w:pPr>
        <w:pStyle w:val="Hesber"/>
        <w:ind w:firstLine="0"/>
        <w:rPr>
          <w:rtl/>
        </w:rPr>
      </w:pPr>
      <w:r w:rsidRPr="00100E1E">
        <w:rPr>
          <w:rtl/>
        </w:rPr>
        <w:t xml:space="preserve">על פי </w:t>
      </w:r>
      <w:r w:rsidRPr="00100E1E">
        <w:rPr>
          <w:rFonts w:hint="cs"/>
          <w:rtl/>
        </w:rPr>
        <w:t>הצעת החוק,</w:t>
      </w:r>
      <w:r w:rsidR="00DD11F2">
        <w:rPr>
          <w:rFonts w:hint="cs"/>
          <w:rtl/>
        </w:rPr>
        <w:t xml:space="preserve"> בדומה לסוגיית ייבוא החזיר וחוק-</w:t>
      </w:r>
      <w:r w:rsidRPr="00100E1E">
        <w:rPr>
          <w:rFonts w:hint="cs"/>
          <w:rtl/>
        </w:rPr>
        <w:t>יסוד</w:t>
      </w:r>
      <w:r w:rsidR="00DD11F2">
        <w:rPr>
          <w:rFonts w:hint="cs"/>
          <w:rtl/>
        </w:rPr>
        <w:t>:</w:t>
      </w:r>
      <w:r w:rsidRPr="00100E1E">
        <w:rPr>
          <w:rFonts w:hint="cs"/>
          <w:rtl/>
        </w:rPr>
        <w:t xml:space="preserve"> חופש העיסוק, בכל הקשור לחקיקה בנושא </w:t>
      </w:r>
      <w:r w:rsidRPr="00100E1E">
        <w:rPr>
          <w:rFonts w:hint="cs"/>
          <w:rtl/>
        </w:rPr>
        <w:lastRenderedPageBreak/>
        <w:t xml:space="preserve">ההסתננות הבלתי חוקית לישראל תוכל הכנסת להתגבר על פסיקת בית המשפט העליון גם אם זה יקבע כי החקיקה האמורה אינה </w:t>
      </w:r>
      <w:r w:rsidR="00DD11F2">
        <w:rPr>
          <w:rFonts w:hint="cs"/>
          <w:rtl/>
        </w:rPr>
        <w:t>עומדת במבחני פסקת ההגבלה של חוק-</w:t>
      </w:r>
      <w:bookmarkStart w:id="6" w:name="_GoBack"/>
      <w:bookmarkEnd w:id="6"/>
      <w:r w:rsidRPr="00100E1E">
        <w:rPr>
          <w:rFonts w:hint="cs"/>
          <w:rtl/>
        </w:rPr>
        <w:t>יסוד: כבוד האדם וחירותו וזאת מפאת חשיבותו הלאומית של הנושא והאחריות שיש לרשות המבצעת כלפי אזרחיה בנושא הכניסה לישראל.</w:t>
      </w:r>
    </w:p>
    <w:p w14:paraId="342A140A" w14:textId="3E8FD4D7" w:rsidR="00A57161" w:rsidRDefault="00A57161" w:rsidP="00100E1E">
      <w:pPr>
        <w:pStyle w:val="Hesber"/>
        <w:rPr>
          <w:rtl/>
        </w:rPr>
      </w:pPr>
      <w:r w:rsidRPr="00100E1E">
        <w:rPr>
          <w:rFonts w:hint="cs"/>
          <w:rtl/>
        </w:rPr>
        <w:t>הצעות חוק זהות הונחו על שולחן הכנסת העשרים על ידי חברת הכנסת שולי מועלם-רפאלי (פ/5497/20) ועל ידי חבר הכנסת יואב קיש (פ</w:t>
      </w:r>
      <w:r w:rsidR="00C71FB9">
        <w:rPr>
          <w:rFonts w:hint="cs"/>
          <w:rtl/>
        </w:rPr>
        <w:t>/</w:t>
      </w:r>
      <w:r w:rsidRPr="00100E1E">
        <w:rPr>
          <w:rFonts w:hint="cs"/>
          <w:rtl/>
        </w:rPr>
        <w:t>5749/20)</w:t>
      </w:r>
      <w:r w:rsidR="00100E1E">
        <w:rPr>
          <w:rFonts w:hint="cs"/>
          <w:rtl/>
        </w:rPr>
        <w:t>.</w:t>
      </w:r>
    </w:p>
    <w:p w14:paraId="0D04F191" w14:textId="77777777" w:rsidR="00DD11F2" w:rsidRDefault="00DD11F2" w:rsidP="00100E1E">
      <w:pPr>
        <w:pStyle w:val="Hesber"/>
        <w:rPr>
          <w:rtl/>
        </w:rPr>
      </w:pPr>
    </w:p>
    <w:p w14:paraId="11B3F755" w14:textId="77777777" w:rsidR="00DD11F2" w:rsidRDefault="00DD11F2" w:rsidP="00100E1E">
      <w:pPr>
        <w:pStyle w:val="Hesber"/>
        <w:rPr>
          <w:rtl/>
        </w:rPr>
      </w:pPr>
    </w:p>
    <w:p w14:paraId="49A27112" w14:textId="77777777" w:rsidR="00DD11F2" w:rsidRPr="00D73212" w:rsidRDefault="00DD11F2" w:rsidP="00DD11F2">
      <w:pPr>
        <w:pStyle w:val="Hesber"/>
        <w:rPr>
          <w:color w:val="auto"/>
          <w:rtl/>
          <w:lang w:eastAsia="en-US"/>
        </w:rPr>
      </w:pPr>
      <w:r w:rsidRPr="00D73212">
        <w:rPr>
          <w:color w:val="auto"/>
          <w:rtl/>
          <w:lang w:eastAsia="en-US"/>
        </w:rPr>
        <w:t>---------------------------------</w:t>
      </w:r>
    </w:p>
    <w:p w14:paraId="77D8A105" w14:textId="77777777" w:rsidR="00DD11F2" w:rsidRPr="00D73212" w:rsidRDefault="00DD11F2" w:rsidP="00DD11F2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הוגשה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ליו</w:t>
      </w:r>
      <w:r w:rsidRPr="00D73212">
        <w:rPr>
          <w:color w:val="auto"/>
          <w:rtl/>
          <w:lang w:eastAsia="en-US"/>
        </w:rPr>
        <w:t>"</w:t>
      </w:r>
      <w:r w:rsidRPr="00D73212">
        <w:rPr>
          <w:rFonts w:hint="cs"/>
          <w:color w:val="auto"/>
          <w:rtl/>
          <w:lang w:eastAsia="en-US"/>
        </w:rPr>
        <w:t>ר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והסגנים</w:t>
      </w:r>
    </w:p>
    <w:p w14:paraId="4CA622B8" w14:textId="77777777" w:rsidR="00DD11F2" w:rsidRPr="00D73212" w:rsidRDefault="00DD11F2" w:rsidP="00DD11F2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והונחה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על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שולחן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ביום</w:t>
      </w:r>
    </w:p>
    <w:p w14:paraId="1C8EC7E2" w14:textId="77777777" w:rsidR="00DD11F2" w:rsidRPr="00317312" w:rsidRDefault="00DD11F2" w:rsidP="00DD11F2">
      <w:pPr>
        <w:pStyle w:val="Hesber"/>
      </w:pPr>
      <w:r>
        <w:rPr>
          <w:rFonts w:hint="cs"/>
          <w:color w:val="auto"/>
          <w:rtl/>
          <w:lang w:eastAsia="en-US"/>
        </w:rPr>
        <w:t xml:space="preserve">י' באייר התש"ף </w:t>
      </w:r>
      <w:r w:rsidRPr="00D73212">
        <w:rPr>
          <w:color w:val="auto"/>
          <w:rtl/>
          <w:lang w:eastAsia="en-US"/>
        </w:rPr>
        <w:t>–</w:t>
      </w:r>
      <w:r>
        <w:rPr>
          <w:rFonts w:hint="cs"/>
          <w:color w:val="auto"/>
          <w:rtl/>
          <w:lang w:eastAsia="en-US"/>
        </w:rPr>
        <w:t xml:space="preserve"> 4.5</w:t>
      </w:r>
      <w:r w:rsidRPr="00D73212">
        <w:rPr>
          <w:color w:val="auto"/>
          <w:rtl/>
          <w:lang w:eastAsia="en-US"/>
        </w:rPr>
        <w:t>.</w:t>
      </w:r>
      <w:r>
        <w:rPr>
          <w:rFonts w:hint="cs"/>
          <w:color w:val="auto"/>
          <w:rtl/>
          <w:lang w:eastAsia="en-US"/>
        </w:rPr>
        <w:t xml:space="preserve">20  </w:t>
      </w:r>
    </w:p>
    <w:p w14:paraId="2C96F72E" w14:textId="77777777" w:rsidR="00DD11F2" w:rsidRPr="00E73006" w:rsidRDefault="00DD11F2" w:rsidP="00DD11F2">
      <w:pPr>
        <w:spacing w:before="0" w:line="360" w:lineRule="auto"/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</w:p>
    <w:p w14:paraId="40243F70" w14:textId="77777777" w:rsidR="00DD11F2" w:rsidRPr="00100E1E" w:rsidRDefault="00DD11F2" w:rsidP="00100E1E">
      <w:pPr>
        <w:pStyle w:val="Hesber"/>
        <w:rPr>
          <w:rtl/>
        </w:rPr>
      </w:pPr>
    </w:p>
    <w:p w14:paraId="7F6961CB" w14:textId="77777777" w:rsidR="00E13C27" w:rsidRPr="00100E1E" w:rsidRDefault="00E13C27" w:rsidP="00100E1E">
      <w:pPr>
        <w:pStyle w:val="Hesber"/>
        <w:rPr>
          <w:rtl/>
        </w:rPr>
      </w:pPr>
    </w:p>
    <w:sectPr w:rsidR="00E13C27" w:rsidRPr="00100E1E" w:rsidSect="001207F8">
      <w:footerReference w:type="even" r:id="rId11"/>
      <w:footerReference w:type="default" r:id="rId12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6B4C1" w14:textId="77777777" w:rsidR="00D142D3" w:rsidRDefault="00D142D3">
      <w:r>
        <w:separator/>
      </w:r>
    </w:p>
  </w:endnote>
  <w:endnote w:type="continuationSeparator" w:id="0">
    <w:p w14:paraId="0E546755" w14:textId="77777777" w:rsidR="00D142D3" w:rsidRDefault="00D142D3">
      <w:r>
        <w:continuationSeparator/>
      </w:r>
    </w:p>
  </w:endnote>
  <w:endnote w:type="continuationNotice" w:id="1">
    <w:p w14:paraId="24369900" w14:textId="77777777" w:rsidR="00D142D3" w:rsidRDefault="00D142D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5" w14:textId="77777777" w:rsidR="002C3041" w:rsidRDefault="002C3041" w:rsidP="001207F8">
    <w:pPr>
      <w:pStyle w:val="a9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end"/>
    </w:r>
  </w:p>
  <w:p w14:paraId="7F6961D6" w14:textId="77777777" w:rsidR="002C3041" w:rsidRDefault="002C304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7" w14:textId="77777777" w:rsidR="002C3041" w:rsidRDefault="002C3041" w:rsidP="001207F8">
    <w:pPr>
      <w:pStyle w:val="a9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separate"/>
    </w:r>
    <w:r w:rsidR="00DD11F2">
      <w:rPr>
        <w:rStyle w:val="ab"/>
        <w:noProof/>
        <w:rtl/>
      </w:rPr>
      <w:t>2</w:t>
    </w:r>
    <w:r>
      <w:rPr>
        <w:rStyle w:val="ab"/>
        <w:rtl/>
      </w:rPr>
      <w:fldChar w:fldCharType="end"/>
    </w:r>
  </w:p>
  <w:p w14:paraId="7F6961D8" w14:textId="77777777" w:rsidR="002C3041" w:rsidRDefault="002C30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674C0" w14:textId="77777777" w:rsidR="00D142D3" w:rsidRDefault="00D142D3" w:rsidP="00100E1E">
      <w:r>
        <w:separator/>
      </w:r>
    </w:p>
  </w:footnote>
  <w:footnote w:type="continuationSeparator" w:id="0">
    <w:p w14:paraId="401CF485" w14:textId="77777777" w:rsidR="00D142D3" w:rsidRDefault="00D142D3">
      <w:r>
        <w:continuationSeparator/>
      </w:r>
    </w:p>
  </w:footnote>
  <w:footnote w:type="continuationNotice" w:id="1">
    <w:p w14:paraId="173A6451" w14:textId="77777777" w:rsidR="00D142D3" w:rsidRDefault="00D142D3"/>
  </w:footnote>
  <w:footnote w:id="2">
    <w:p w14:paraId="6B601AED" w14:textId="77777777" w:rsidR="00A57161" w:rsidRDefault="00A57161" w:rsidP="00A57161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ס"ח התשנ"ב, עמ' 150.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63A3E"/>
    <w:rsid w:val="00072CAC"/>
    <w:rsid w:val="0007681A"/>
    <w:rsid w:val="000A542E"/>
    <w:rsid w:val="00100E1E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A0623"/>
    <w:rsid w:val="001C23B0"/>
    <w:rsid w:val="001D7AAF"/>
    <w:rsid w:val="00203A7F"/>
    <w:rsid w:val="0021633A"/>
    <w:rsid w:val="002200A1"/>
    <w:rsid w:val="002362BF"/>
    <w:rsid w:val="00241B97"/>
    <w:rsid w:val="002425D1"/>
    <w:rsid w:val="00246756"/>
    <w:rsid w:val="00251E58"/>
    <w:rsid w:val="00254605"/>
    <w:rsid w:val="00266D86"/>
    <w:rsid w:val="002728B4"/>
    <w:rsid w:val="0027600C"/>
    <w:rsid w:val="00292712"/>
    <w:rsid w:val="002A487D"/>
    <w:rsid w:val="002C2E29"/>
    <w:rsid w:val="002C3041"/>
    <w:rsid w:val="002D1EE3"/>
    <w:rsid w:val="002F1D80"/>
    <w:rsid w:val="003232A2"/>
    <w:rsid w:val="00325C14"/>
    <w:rsid w:val="0036422C"/>
    <w:rsid w:val="003710F6"/>
    <w:rsid w:val="00386E88"/>
    <w:rsid w:val="00396585"/>
    <w:rsid w:val="003D6E38"/>
    <w:rsid w:val="003D74A0"/>
    <w:rsid w:val="004033D8"/>
    <w:rsid w:val="004073F0"/>
    <w:rsid w:val="00412A7D"/>
    <w:rsid w:val="00416B4D"/>
    <w:rsid w:val="00417CFC"/>
    <w:rsid w:val="004A06DC"/>
    <w:rsid w:val="004B24ED"/>
    <w:rsid w:val="004B6625"/>
    <w:rsid w:val="004D2D82"/>
    <w:rsid w:val="004D3876"/>
    <w:rsid w:val="004E4552"/>
    <w:rsid w:val="004E6CDF"/>
    <w:rsid w:val="00553C9D"/>
    <w:rsid w:val="00562A66"/>
    <w:rsid w:val="005B064E"/>
    <w:rsid w:val="005D51AE"/>
    <w:rsid w:val="0062674B"/>
    <w:rsid w:val="006363B2"/>
    <w:rsid w:val="00644940"/>
    <w:rsid w:val="006818A9"/>
    <w:rsid w:val="006A2D81"/>
    <w:rsid w:val="006C1D0D"/>
    <w:rsid w:val="0070601E"/>
    <w:rsid w:val="00712C72"/>
    <w:rsid w:val="00735FE9"/>
    <w:rsid w:val="00763CAA"/>
    <w:rsid w:val="00765F66"/>
    <w:rsid w:val="0078664F"/>
    <w:rsid w:val="007A27CE"/>
    <w:rsid w:val="007C3FA6"/>
    <w:rsid w:val="007D585A"/>
    <w:rsid w:val="007D5A12"/>
    <w:rsid w:val="007E59F9"/>
    <w:rsid w:val="00810BCD"/>
    <w:rsid w:val="00812C98"/>
    <w:rsid w:val="00814D92"/>
    <w:rsid w:val="0083181D"/>
    <w:rsid w:val="00843EB2"/>
    <w:rsid w:val="00865572"/>
    <w:rsid w:val="00874BBC"/>
    <w:rsid w:val="00892135"/>
    <w:rsid w:val="00895449"/>
    <w:rsid w:val="00897879"/>
    <w:rsid w:val="008A6870"/>
    <w:rsid w:val="008C2DDC"/>
    <w:rsid w:val="008C7516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3386"/>
    <w:rsid w:val="009456B6"/>
    <w:rsid w:val="00957589"/>
    <w:rsid w:val="00966D06"/>
    <w:rsid w:val="00982412"/>
    <w:rsid w:val="00983A8D"/>
    <w:rsid w:val="009A0DB8"/>
    <w:rsid w:val="009A7257"/>
    <w:rsid w:val="009D6E0A"/>
    <w:rsid w:val="009E1E33"/>
    <w:rsid w:val="00A14672"/>
    <w:rsid w:val="00A26BD6"/>
    <w:rsid w:val="00A443CF"/>
    <w:rsid w:val="00A57161"/>
    <w:rsid w:val="00A6611D"/>
    <w:rsid w:val="00A82CB7"/>
    <w:rsid w:val="00A942C1"/>
    <w:rsid w:val="00AA2F03"/>
    <w:rsid w:val="00AC36F7"/>
    <w:rsid w:val="00AC63A4"/>
    <w:rsid w:val="00AD239E"/>
    <w:rsid w:val="00B10265"/>
    <w:rsid w:val="00B16A99"/>
    <w:rsid w:val="00B21211"/>
    <w:rsid w:val="00B35784"/>
    <w:rsid w:val="00B733A7"/>
    <w:rsid w:val="00B75C91"/>
    <w:rsid w:val="00B975AD"/>
    <w:rsid w:val="00BA7062"/>
    <w:rsid w:val="00BC45FB"/>
    <w:rsid w:val="00BF148D"/>
    <w:rsid w:val="00C23B1A"/>
    <w:rsid w:val="00C310EB"/>
    <w:rsid w:val="00C71FB9"/>
    <w:rsid w:val="00C9176A"/>
    <w:rsid w:val="00CF1AA2"/>
    <w:rsid w:val="00D142D3"/>
    <w:rsid w:val="00D17774"/>
    <w:rsid w:val="00D63620"/>
    <w:rsid w:val="00D8410D"/>
    <w:rsid w:val="00D867D7"/>
    <w:rsid w:val="00DB7060"/>
    <w:rsid w:val="00DD11F2"/>
    <w:rsid w:val="00DE3153"/>
    <w:rsid w:val="00E06736"/>
    <w:rsid w:val="00E13C27"/>
    <w:rsid w:val="00E33BBD"/>
    <w:rsid w:val="00E374F2"/>
    <w:rsid w:val="00E45103"/>
    <w:rsid w:val="00E55A60"/>
    <w:rsid w:val="00E62778"/>
    <w:rsid w:val="00E635A2"/>
    <w:rsid w:val="00E63D38"/>
    <w:rsid w:val="00E665B9"/>
    <w:rsid w:val="00EA01E6"/>
    <w:rsid w:val="00EA3DE8"/>
    <w:rsid w:val="00EA758F"/>
    <w:rsid w:val="00EC42F0"/>
    <w:rsid w:val="00ED4A6F"/>
    <w:rsid w:val="00EF3A3A"/>
    <w:rsid w:val="00F628D6"/>
    <w:rsid w:val="00F67051"/>
    <w:rsid w:val="00F86A1E"/>
    <w:rsid w:val="00FA5E88"/>
    <w:rsid w:val="00F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CC5510D4-2399-42DD-8787-2EC62635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AD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B975AD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B975AD"/>
    <w:rPr>
      <w:sz w:val="36"/>
      <w:szCs w:val="52"/>
    </w:rPr>
  </w:style>
  <w:style w:type="paragraph" w:customStyle="1" w:styleId="Cover3-Haknesset">
    <w:name w:val="Cover 3-Haknesset"/>
    <w:basedOn w:val="Cover1-Reshumot"/>
    <w:rsid w:val="00B975AD"/>
    <w:rPr>
      <w:b/>
      <w:bCs/>
      <w:spacing w:val="60"/>
    </w:rPr>
  </w:style>
  <w:style w:type="paragraph" w:customStyle="1" w:styleId="Cover4-Date">
    <w:name w:val="Cover 4-Date"/>
    <w:basedOn w:val="a"/>
    <w:rsid w:val="00B975AD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B975AD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B975AD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B975AD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B975AD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B975AD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B975AD"/>
  </w:style>
  <w:style w:type="paragraph" w:customStyle="1" w:styleId="TableBlock">
    <w:name w:val="Table Block"/>
    <w:basedOn w:val="TableText"/>
    <w:rsid w:val="00B975AD"/>
    <w:pPr>
      <w:ind w:right="0"/>
      <w:jc w:val="both"/>
    </w:pPr>
  </w:style>
  <w:style w:type="paragraph" w:customStyle="1" w:styleId="TableHead">
    <w:name w:val="Table Head"/>
    <w:basedOn w:val="TableText"/>
    <w:rsid w:val="00B975AD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B975AD"/>
  </w:style>
  <w:style w:type="paragraph" w:customStyle="1" w:styleId="Hesber">
    <w:name w:val="Hesber"/>
    <w:basedOn w:val="a"/>
    <w:rsid w:val="00B975AD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link w:val="a5"/>
    <w:autoRedefine/>
    <w:semiHidden/>
    <w:rsid w:val="00B975AD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6">
    <w:name w:val="footnote reference"/>
    <w:aliases w:val="Footnote Reference"/>
    <w:basedOn w:val="a0"/>
    <w:semiHidden/>
    <w:rsid w:val="00B975AD"/>
    <w:rPr>
      <w:vertAlign w:val="superscript"/>
    </w:rPr>
  </w:style>
  <w:style w:type="paragraph" w:customStyle="1" w:styleId="HesberHeading">
    <w:name w:val="Hesber Heading"/>
    <w:basedOn w:val="Hesber"/>
    <w:rsid w:val="00B975AD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B975AD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B975AD"/>
    <w:pPr>
      <w:tabs>
        <w:tab w:val="left" w:pos="680"/>
        <w:tab w:val="left" w:pos="1020"/>
      </w:tabs>
      <w:ind w:firstLine="0"/>
    </w:pPr>
  </w:style>
  <w:style w:type="character" w:styleId="a7">
    <w:name w:val="endnote reference"/>
    <w:basedOn w:val="a0"/>
    <w:semiHidden/>
    <w:rsid w:val="00B975AD"/>
    <w:rPr>
      <w:vertAlign w:val="superscript"/>
    </w:rPr>
  </w:style>
  <w:style w:type="paragraph" w:customStyle="1" w:styleId="TableBlockOutdent">
    <w:name w:val="Table BlockOutdent"/>
    <w:basedOn w:val="TableBlock"/>
    <w:rsid w:val="00B975AD"/>
    <w:pPr>
      <w:ind w:left="624" w:hanging="624"/>
    </w:pPr>
  </w:style>
  <w:style w:type="paragraph" w:styleId="a8">
    <w:name w:val="header"/>
    <w:basedOn w:val="a"/>
    <w:rsid w:val="00B975AD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B975AD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B975AD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B975AD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a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b">
    <w:name w:val="page number"/>
    <w:basedOn w:val="a0"/>
    <w:rsid w:val="00B975AD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c">
    <w:name w:val="Balloon Text"/>
    <w:basedOn w:val="a"/>
    <w:link w:val="ad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customStyle="1" w:styleId="a5">
    <w:name w:val="טקסט הערת שוליים תו"/>
    <w:basedOn w:val="a0"/>
    <w:link w:val="a4"/>
    <w:semiHidden/>
    <w:rsid w:val="00A57161"/>
    <w:rPr>
      <w:rFonts w:ascii="Arial" w:eastAsia="Arial Unicode MS" w:hAnsi="Arial" w:cs="David"/>
      <w:snapToGrid w:val="0"/>
      <w:color w:val="000000"/>
      <w:sz w:val="1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D6E9C754E1F7C4C891E9EE2E0AF8150" ma:contentTypeVersion="" ma:contentTypeDescription="צור מסמך חדש." ma:contentTypeScope="" ma:versionID="b2c52f23e7867aea476dda019525fa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5a2728251a2ce93c0626b1f2c5b5f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AFE3-9455-419C-8851-785A55F4451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73F00-764B-4190-9951-8D7BD2412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C0E8D6-C47E-4963-A16C-595C8152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לילך יעיש</cp:lastModifiedBy>
  <cp:revision>10</cp:revision>
  <cp:lastPrinted>2013-07-04T08:25:00Z</cp:lastPrinted>
  <dcterms:created xsi:type="dcterms:W3CDTF">2015-04-20T09:58:00Z</dcterms:created>
  <dcterms:modified xsi:type="dcterms:W3CDTF">2020-05-03T07:05:00Z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0x0101003D6E9C754E1F7C4C891E9EE2E0AF8150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2087709</vt:r8>
  </property>
</Properties>
</file>