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2085903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מיקי חיימוביץ'</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21F8DC2"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67024A">
        <w:rPr>
          <w:rtl/>
        </w:rPr>
        <w:tab/>
      </w:r>
      <w:r>
        <w:rPr>
          <w:rFonts w:hint="cs"/>
          <w:rtl/>
        </w:rPr>
        <w:t>פ/392/23</w:t>
      </w:r>
      <w:bookmarkEnd w:id="6"/>
    </w:p>
    <w:p w14:paraId="7F6961AC" w14:textId="77777777" w:rsidR="00E13C27" w:rsidRDefault="00E13C27" w:rsidP="00E13C27">
      <w:pPr>
        <w:ind w:left="2880" w:firstLine="720"/>
        <w:rPr>
          <w:sz w:val="26"/>
          <w:szCs w:val="26"/>
          <w:rtl/>
        </w:rPr>
      </w:pPr>
    </w:p>
    <w:p w14:paraId="6898CD6B" w14:textId="77777777" w:rsidR="005D1C2C" w:rsidRDefault="00A443CF" w:rsidP="0021633A">
      <w:pPr>
        <w:pStyle w:val="HeadHatzaotHok"/>
        <w:rPr>
          <w:rtl/>
        </w:rPr>
      </w:pPr>
      <w:bookmarkStart w:id="7" w:name="LGS_Subject"/>
      <w:r>
        <w:rPr>
          <w:rFonts w:hint="cs"/>
          <w:rtl/>
        </w:rPr>
        <w:t xml:space="preserve">הצעת חוק צער בעלי חיים (הגנה על בעלי חיים) (תיקון </w:t>
      </w:r>
      <w:r w:rsidR="007F1DC7">
        <w:rPr>
          <w:rFonts w:hint="cs"/>
          <w:rtl/>
        </w:rPr>
        <w:t xml:space="preserve">– ביטול כלובים בתעשיית הביצים), </w:t>
      </w:r>
      <w:r>
        <w:rPr>
          <w:rFonts w:hint="cs"/>
          <w:rtl/>
        </w:rPr>
        <w:t>התש"ף–2020</w:t>
      </w:r>
    </w:p>
    <w:p w14:paraId="7F6961AD" w14:textId="490D73FD" w:rsidR="00E13C27" w:rsidRPr="00F67051" w:rsidRDefault="00A443CF" w:rsidP="0021633A">
      <w:pPr>
        <w:pStyle w:val="HeadHatzaotHok"/>
        <w:rPr>
          <w:rtl/>
        </w:rPr>
      </w:pPr>
      <w:r>
        <w:rPr>
          <w:rFonts w:hint="cs"/>
          <w:rtl/>
        </w:rPr>
        <w:t xml:space="preserve"> </w:t>
      </w:r>
      <w:bookmarkEnd w:id="7"/>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520"/>
      </w:tblGrid>
      <w:tr w:rsidR="007F1DC7" w:rsidRPr="0049309E" w14:paraId="72C17A34" w14:textId="77777777" w:rsidTr="005D1C2C">
        <w:trPr>
          <w:cantSplit/>
        </w:trPr>
        <w:tc>
          <w:tcPr>
            <w:tcW w:w="1869" w:type="dxa"/>
          </w:tcPr>
          <w:p w14:paraId="0BEBEB5D" w14:textId="77777777" w:rsidR="007F1DC7" w:rsidRPr="00095BE2" w:rsidRDefault="007F1DC7" w:rsidP="00616F51">
            <w:pPr>
              <w:pStyle w:val="TableSideHeading"/>
              <w:rPr>
                <w:rtl/>
              </w:rPr>
            </w:pPr>
            <w:r w:rsidRPr="00095BE2">
              <w:rPr>
                <w:rtl/>
              </w:rPr>
              <w:t>תיקון סעיף 2</w:t>
            </w:r>
          </w:p>
        </w:tc>
        <w:tc>
          <w:tcPr>
            <w:tcW w:w="623" w:type="dxa"/>
          </w:tcPr>
          <w:p w14:paraId="74B11451" w14:textId="77777777" w:rsidR="007F1DC7" w:rsidRPr="00095BE2" w:rsidRDefault="007F1DC7" w:rsidP="00616F51">
            <w:pPr>
              <w:pStyle w:val="TableText"/>
              <w:jc w:val="both"/>
            </w:pPr>
            <w:r w:rsidRPr="00095BE2">
              <w:rPr>
                <w:rFonts w:hint="cs"/>
                <w:rtl/>
              </w:rPr>
              <w:t>1.</w:t>
            </w:r>
          </w:p>
        </w:tc>
        <w:tc>
          <w:tcPr>
            <w:tcW w:w="7144" w:type="dxa"/>
            <w:gridSpan w:val="2"/>
          </w:tcPr>
          <w:p w14:paraId="486556D8" w14:textId="77777777" w:rsidR="007F1DC7" w:rsidRPr="00095BE2" w:rsidRDefault="007F1DC7" w:rsidP="005D1C2C">
            <w:pPr>
              <w:pStyle w:val="TableBlock"/>
            </w:pPr>
            <w:r w:rsidRPr="00095BE2">
              <w:rPr>
                <w:rtl/>
              </w:rPr>
              <w:t>בחוק צער בעלי חיים (הגנה על בעלי חיים), התשנ"ד–1994</w:t>
            </w:r>
            <w:r w:rsidRPr="005D1C2C">
              <w:rPr>
                <w:rFonts w:ascii="David" w:hAnsi="David"/>
                <w:sz w:val="26"/>
                <w:vertAlign w:val="superscript"/>
              </w:rPr>
              <w:footnoteReference w:id="2"/>
            </w:r>
            <w:r w:rsidRPr="00095BE2">
              <w:rPr>
                <w:rFonts w:hint="cs"/>
                <w:rtl/>
              </w:rPr>
              <w:t xml:space="preserve"> (להלן – החוק העיקרי), </w:t>
            </w:r>
            <w:r w:rsidRPr="00095BE2">
              <w:rPr>
                <w:rtl/>
              </w:rPr>
              <w:t>בסעיף 2, אחרי סעיף קטן (ד) יבוא:</w:t>
            </w:r>
          </w:p>
        </w:tc>
      </w:tr>
      <w:tr w:rsidR="007F1DC7" w:rsidRPr="0049309E" w14:paraId="35784150" w14:textId="77777777" w:rsidTr="005D1C2C">
        <w:trPr>
          <w:cantSplit/>
        </w:trPr>
        <w:tc>
          <w:tcPr>
            <w:tcW w:w="1869" w:type="dxa"/>
          </w:tcPr>
          <w:p w14:paraId="0379FFA6" w14:textId="77777777" w:rsidR="007F1DC7" w:rsidRPr="00095BE2" w:rsidRDefault="007F1DC7" w:rsidP="00616F51">
            <w:pPr>
              <w:pStyle w:val="TableSideHeading"/>
              <w:rPr>
                <w:rtl/>
              </w:rPr>
            </w:pPr>
          </w:p>
        </w:tc>
        <w:tc>
          <w:tcPr>
            <w:tcW w:w="623" w:type="dxa"/>
          </w:tcPr>
          <w:p w14:paraId="7A51465D" w14:textId="77777777" w:rsidR="007F1DC7" w:rsidRPr="0049309E" w:rsidRDefault="007F1DC7" w:rsidP="00616F51">
            <w:pPr>
              <w:pStyle w:val="TableText"/>
            </w:pPr>
          </w:p>
        </w:tc>
        <w:tc>
          <w:tcPr>
            <w:tcW w:w="7144" w:type="dxa"/>
            <w:gridSpan w:val="2"/>
          </w:tcPr>
          <w:p w14:paraId="1B054D6E" w14:textId="77777777" w:rsidR="007F1DC7" w:rsidRPr="00095BE2" w:rsidRDefault="007F1DC7" w:rsidP="005D1C2C">
            <w:pPr>
              <w:pStyle w:val="TableBlock"/>
              <w:rPr>
                <w:rtl/>
              </w:rPr>
            </w:pPr>
            <w:r w:rsidRPr="00095BE2">
              <w:rPr>
                <w:rFonts w:hint="cs"/>
                <w:rtl/>
              </w:rPr>
              <w:t>"(ה)</w:t>
            </w:r>
            <w:r w:rsidRPr="00095BE2">
              <w:rPr>
                <w:rtl/>
              </w:rPr>
              <w:tab/>
            </w:r>
            <w:r w:rsidRPr="00095BE2">
              <w:rPr>
                <w:rFonts w:hint="cs"/>
                <w:rtl/>
              </w:rPr>
              <w:t>לא יחזיק אדם תרנגולת לשם ייצור ביצי מאכל לשיווק אלא אם כן:</w:t>
            </w:r>
          </w:p>
        </w:tc>
      </w:tr>
      <w:tr w:rsidR="007F1DC7" w14:paraId="6C0A69A1" w14:textId="77777777" w:rsidTr="005D1C2C">
        <w:trPr>
          <w:cantSplit/>
        </w:trPr>
        <w:tc>
          <w:tcPr>
            <w:tcW w:w="1869" w:type="dxa"/>
          </w:tcPr>
          <w:p w14:paraId="616E776C" w14:textId="77777777" w:rsidR="007F1DC7" w:rsidRDefault="007F1DC7" w:rsidP="00616F51">
            <w:pPr>
              <w:pStyle w:val="TableSideHeading"/>
            </w:pPr>
          </w:p>
        </w:tc>
        <w:tc>
          <w:tcPr>
            <w:tcW w:w="623" w:type="dxa"/>
          </w:tcPr>
          <w:p w14:paraId="65E85082" w14:textId="77777777" w:rsidR="007F1DC7" w:rsidRDefault="007F1DC7" w:rsidP="00616F51">
            <w:pPr>
              <w:pStyle w:val="TableText"/>
            </w:pPr>
          </w:p>
        </w:tc>
        <w:tc>
          <w:tcPr>
            <w:tcW w:w="624" w:type="dxa"/>
          </w:tcPr>
          <w:p w14:paraId="1C65891C" w14:textId="77777777" w:rsidR="007F1DC7" w:rsidRDefault="007F1DC7" w:rsidP="00616F51">
            <w:pPr>
              <w:pStyle w:val="TableText"/>
            </w:pPr>
          </w:p>
        </w:tc>
        <w:tc>
          <w:tcPr>
            <w:tcW w:w="6520" w:type="dxa"/>
          </w:tcPr>
          <w:p w14:paraId="7E49B0A3" w14:textId="77777777" w:rsidR="007F1DC7" w:rsidRPr="007E1B63" w:rsidRDefault="007F1DC7" w:rsidP="005D1C2C">
            <w:pPr>
              <w:pStyle w:val="TableBlock"/>
            </w:pPr>
            <w:r>
              <w:rPr>
                <w:rFonts w:hint="cs"/>
                <w:rtl/>
              </w:rPr>
              <w:t>(1)</w:t>
            </w:r>
            <w:r>
              <w:rPr>
                <w:rtl/>
              </w:rPr>
              <w:tab/>
            </w:r>
            <w:r w:rsidRPr="0049309E">
              <w:rPr>
                <w:rFonts w:hint="cs"/>
                <w:sz w:val="26"/>
                <w:rtl/>
              </w:rPr>
              <w:t>לתרנגולת גישה לתא הטלה מתאים, המעניק מסתור;</w:t>
            </w:r>
          </w:p>
        </w:tc>
      </w:tr>
      <w:tr w:rsidR="007F1DC7" w14:paraId="52F39DC1" w14:textId="77777777" w:rsidTr="005D1C2C">
        <w:trPr>
          <w:cantSplit/>
        </w:trPr>
        <w:tc>
          <w:tcPr>
            <w:tcW w:w="1869" w:type="dxa"/>
          </w:tcPr>
          <w:p w14:paraId="66832E9C" w14:textId="77777777" w:rsidR="007F1DC7" w:rsidRDefault="007F1DC7" w:rsidP="00616F51">
            <w:pPr>
              <w:pStyle w:val="TableSideHeading"/>
            </w:pPr>
          </w:p>
        </w:tc>
        <w:tc>
          <w:tcPr>
            <w:tcW w:w="623" w:type="dxa"/>
          </w:tcPr>
          <w:p w14:paraId="51A010E1" w14:textId="77777777" w:rsidR="007F1DC7" w:rsidRDefault="007F1DC7" w:rsidP="00616F51">
            <w:pPr>
              <w:pStyle w:val="TableText"/>
            </w:pPr>
          </w:p>
        </w:tc>
        <w:tc>
          <w:tcPr>
            <w:tcW w:w="624" w:type="dxa"/>
          </w:tcPr>
          <w:p w14:paraId="04B46B66" w14:textId="77777777" w:rsidR="007F1DC7" w:rsidRDefault="007F1DC7" w:rsidP="00616F51">
            <w:pPr>
              <w:pStyle w:val="TableText"/>
            </w:pPr>
          </w:p>
        </w:tc>
        <w:tc>
          <w:tcPr>
            <w:tcW w:w="6520" w:type="dxa"/>
          </w:tcPr>
          <w:p w14:paraId="1888CB80" w14:textId="77777777" w:rsidR="007F1DC7" w:rsidRDefault="007F1DC7" w:rsidP="005D1C2C">
            <w:pPr>
              <w:pStyle w:val="TableBlock"/>
              <w:rPr>
                <w:rtl/>
              </w:rPr>
            </w:pPr>
            <w:r>
              <w:rPr>
                <w:rFonts w:hint="cs"/>
                <w:rtl/>
              </w:rPr>
              <w:t>(2)</w:t>
            </w:r>
            <w:r>
              <w:rPr>
                <w:rtl/>
              </w:rPr>
              <w:tab/>
            </w:r>
            <w:r w:rsidRPr="0049309E">
              <w:rPr>
                <w:rFonts w:hint="cs"/>
                <w:sz w:val="26"/>
                <w:rtl/>
              </w:rPr>
              <w:t>לתרנגולת גישה לבד לינה מתאים ומוגבה מהקרקע;</w:t>
            </w:r>
          </w:p>
        </w:tc>
      </w:tr>
      <w:tr w:rsidR="007F1DC7" w14:paraId="4DDE5779" w14:textId="77777777" w:rsidTr="005D1C2C">
        <w:trPr>
          <w:cantSplit/>
        </w:trPr>
        <w:tc>
          <w:tcPr>
            <w:tcW w:w="1869" w:type="dxa"/>
          </w:tcPr>
          <w:p w14:paraId="66F7CE0D" w14:textId="77777777" w:rsidR="007F1DC7" w:rsidRDefault="007F1DC7" w:rsidP="00616F51">
            <w:pPr>
              <w:pStyle w:val="TableSideHeading"/>
            </w:pPr>
          </w:p>
        </w:tc>
        <w:tc>
          <w:tcPr>
            <w:tcW w:w="623" w:type="dxa"/>
          </w:tcPr>
          <w:p w14:paraId="4BA8B9DD" w14:textId="77777777" w:rsidR="007F1DC7" w:rsidRDefault="007F1DC7" w:rsidP="00616F51">
            <w:pPr>
              <w:pStyle w:val="TableText"/>
            </w:pPr>
          </w:p>
        </w:tc>
        <w:tc>
          <w:tcPr>
            <w:tcW w:w="624" w:type="dxa"/>
          </w:tcPr>
          <w:p w14:paraId="22EF37C4" w14:textId="77777777" w:rsidR="007F1DC7" w:rsidRDefault="007F1DC7" w:rsidP="00616F51">
            <w:pPr>
              <w:pStyle w:val="TableText"/>
            </w:pPr>
          </w:p>
        </w:tc>
        <w:tc>
          <w:tcPr>
            <w:tcW w:w="6520" w:type="dxa"/>
          </w:tcPr>
          <w:p w14:paraId="4E3B23EF" w14:textId="77777777" w:rsidR="007F1DC7" w:rsidRDefault="007F1DC7" w:rsidP="005D1C2C">
            <w:pPr>
              <w:pStyle w:val="TableBlock"/>
              <w:rPr>
                <w:rtl/>
              </w:rPr>
            </w:pPr>
            <w:r>
              <w:rPr>
                <w:rFonts w:hint="cs"/>
                <w:rtl/>
              </w:rPr>
              <w:t>(3)</w:t>
            </w:r>
            <w:r>
              <w:rPr>
                <w:rtl/>
              </w:rPr>
              <w:tab/>
            </w:r>
            <w:r w:rsidRPr="0049309E">
              <w:rPr>
                <w:rFonts w:hint="cs"/>
                <w:sz w:val="26"/>
                <w:rtl/>
              </w:rPr>
              <w:t>התרנגולת מוחזקת במבנה שרצפתו מכוסה ברפד, או בחצר ובה מחסות מפגעי מזג האוויר, והכול באופן שלתרנגולת ישנה אפשרות להלך, לעופף, לנקר בקרקע או ברפד ולהתפלש בעפר או בחומר פריר דומה;</w:t>
            </w:r>
          </w:p>
        </w:tc>
      </w:tr>
      <w:tr w:rsidR="007F1DC7" w14:paraId="592DAC1C" w14:textId="77777777" w:rsidTr="005D1C2C">
        <w:trPr>
          <w:cantSplit/>
        </w:trPr>
        <w:tc>
          <w:tcPr>
            <w:tcW w:w="1869" w:type="dxa"/>
          </w:tcPr>
          <w:p w14:paraId="65CE9A04" w14:textId="77777777" w:rsidR="007F1DC7" w:rsidRDefault="007F1DC7" w:rsidP="00616F51">
            <w:pPr>
              <w:pStyle w:val="TableSideHeading"/>
            </w:pPr>
          </w:p>
        </w:tc>
        <w:tc>
          <w:tcPr>
            <w:tcW w:w="623" w:type="dxa"/>
          </w:tcPr>
          <w:p w14:paraId="41F77C38" w14:textId="77777777" w:rsidR="007F1DC7" w:rsidRDefault="007F1DC7" w:rsidP="00616F51">
            <w:pPr>
              <w:pStyle w:val="TableText"/>
            </w:pPr>
          </w:p>
        </w:tc>
        <w:tc>
          <w:tcPr>
            <w:tcW w:w="624" w:type="dxa"/>
          </w:tcPr>
          <w:p w14:paraId="4E655858" w14:textId="77777777" w:rsidR="007F1DC7" w:rsidRDefault="007F1DC7" w:rsidP="00616F51">
            <w:pPr>
              <w:pStyle w:val="TableText"/>
            </w:pPr>
          </w:p>
        </w:tc>
        <w:tc>
          <w:tcPr>
            <w:tcW w:w="6520" w:type="dxa"/>
          </w:tcPr>
          <w:p w14:paraId="20FB064E" w14:textId="77777777" w:rsidR="007F1DC7" w:rsidRDefault="007F1DC7" w:rsidP="005D1C2C">
            <w:pPr>
              <w:pStyle w:val="TableBlock"/>
              <w:rPr>
                <w:rtl/>
              </w:rPr>
            </w:pPr>
            <w:r>
              <w:rPr>
                <w:rFonts w:hint="cs"/>
                <w:rtl/>
              </w:rPr>
              <w:t>(4)</w:t>
            </w:r>
            <w:r>
              <w:rPr>
                <w:rtl/>
              </w:rPr>
              <w:tab/>
            </w:r>
            <w:r w:rsidRPr="0049309E">
              <w:rPr>
                <w:rFonts w:hint="cs"/>
                <w:sz w:val="26"/>
                <w:rtl/>
              </w:rPr>
              <w:t>לתרנגולת אמצעי לשחיקת ציפורניה;</w:t>
            </w:r>
          </w:p>
        </w:tc>
      </w:tr>
      <w:tr w:rsidR="007F1DC7" w14:paraId="13366EBB" w14:textId="77777777" w:rsidTr="005D1C2C">
        <w:trPr>
          <w:cantSplit/>
        </w:trPr>
        <w:tc>
          <w:tcPr>
            <w:tcW w:w="1869" w:type="dxa"/>
          </w:tcPr>
          <w:p w14:paraId="48309CD7" w14:textId="77777777" w:rsidR="007F1DC7" w:rsidRDefault="007F1DC7" w:rsidP="00616F51">
            <w:pPr>
              <w:pStyle w:val="TableSideHeading"/>
            </w:pPr>
          </w:p>
        </w:tc>
        <w:tc>
          <w:tcPr>
            <w:tcW w:w="623" w:type="dxa"/>
          </w:tcPr>
          <w:p w14:paraId="0BFDC8D0" w14:textId="77777777" w:rsidR="007F1DC7" w:rsidRDefault="007F1DC7" w:rsidP="00616F51">
            <w:pPr>
              <w:pStyle w:val="TableText"/>
            </w:pPr>
          </w:p>
        </w:tc>
        <w:tc>
          <w:tcPr>
            <w:tcW w:w="624" w:type="dxa"/>
          </w:tcPr>
          <w:p w14:paraId="220D8BD6" w14:textId="77777777" w:rsidR="007F1DC7" w:rsidRDefault="007F1DC7" w:rsidP="00616F51">
            <w:pPr>
              <w:pStyle w:val="TableText"/>
            </w:pPr>
          </w:p>
        </w:tc>
        <w:tc>
          <w:tcPr>
            <w:tcW w:w="6520" w:type="dxa"/>
          </w:tcPr>
          <w:p w14:paraId="7CBA5406" w14:textId="77777777" w:rsidR="007F1DC7" w:rsidRDefault="007F1DC7" w:rsidP="005D1C2C">
            <w:pPr>
              <w:pStyle w:val="TableBlock"/>
              <w:rPr>
                <w:rtl/>
              </w:rPr>
            </w:pPr>
            <w:r>
              <w:rPr>
                <w:rFonts w:hint="cs"/>
                <w:rtl/>
              </w:rPr>
              <w:t>(5)</w:t>
            </w:r>
            <w:r>
              <w:rPr>
                <w:rtl/>
              </w:rPr>
              <w:tab/>
            </w:r>
            <w:r w:rsidRPr="0049309E">
              <w:rPr>
                <w:rFonts w:hint="cs"/>
                <w:sz w:val="26"/>
                <w:rtl/>
              </w:rPr>
              <w:t>השטח המוקצה לתרנגולת במבנה אינו פחות ממטר רבוע אחד לכל תשע תרנגולות, בנוסף לשטח תא ההטלה, ולרבות שטח במפלסים המוגבהים מהקרקע."</w:t>
            </w:r>
          </w:p>
        </w:tc>
      </w:tr>
      <w:tr w:rsidR="007F1DC7" w14:paraId="658BB24F" w14:textId="77777777" w:rsidTr="005D1C2C">
        <w:trPr>
          <w:cantSplit/>
        </w:trPr>
        <w:tc>
          <w:tcPr>
            <w:tcW w:w="1869" w:type="dxa"/>
          </w:tcPr>
          <w:p w14:paraId="2A42BBD9" w14:textId="77777777" w:rsidR="007F1DC7" w:rsidRDefault="007F1DC7" w:rsidP="00616F51">
            <w:pPr>
              <w:pStyle w:val="TableSideHeading"/>
              <w:rPr>
                <w:rtl/>
              </w:rPr>
            </w:pPr>
            <w:r>
              <w:rPr>
                <w:rFonts w:hint="cs"/>
                <w:sz w:val="26"/>
                <w:rtl/>
              </w:rPr>
              <w:t>תחולה</w:t>
            </w:r>
          </w:p>
        </w:tc>
        <w:tc>
          <w:tcPr>
            <w:tcW w:w="623" w:type="dxa"/>
          </w:tcPr>
          <w:p w14:paraId="5D2D4B59" w14:textId="77777777" w:rsidR="007F1DC7" w:rsidRDefault="007F1DC7" w:rsidP="00616F51">
            <w:pPr>
              <w:pStyle w:val="TableText"/>
            </w:pPr>
            <w:r>
              <w:rPr>
                <w:rFonts w:hint="cs"/>
                <w:rtl/>
              </w:rPr>
              <w:t>2.</w:t>
            </w:r>
          </w:p>
        </w:tc>
        <w:tc>
          <w:tcPr>
            <w:tcW w:w="7144" w:type="dxa"/>
            <w:gridSpan w:val="2"/>
          </w:tcPr>
          <w:p w14:paraId="2DB0752B" w14:textId="77777777" w:rsidR="007F1DC7" w:rsidRPr="00C34DE2" w:rsidRDefault="007F1DC7" w:rsidP="005D1C2C">
            <w:pPr>
              <w:pStyle w:val="TableBlock"/>
            </w:pPr>
            <w:r>
              <w:rPr>
                <w:rFonts w:hint="cs"/>
                <w:sz w:val="26"/>
                <w:rtl/>
              </w:rPr>
              <w:t>הוראות סעיף 2(ה) לחוק העיקרי כנוסחו בסעיף 1 לחוק זה לא יחולו על החזקת תרנגולות בלול שהיה קיים ביום פרסומו של חוק זה, למעט אם נעשו בו שיפוצים הכוללים החלפה של הציוד להחזקת התרנגולות.</w:t>
            </w:r>
          </w:p>
        </w:tc>
      </w:tr>
    </w:tbl>
    <w:p w14:paraId="10ABD9E7" w14:textId="44993AEB" w:rsidR="0067024A" w:rsidRDefault="0067024A" w:rsidP="002D1EE3">
      <w:pPr>
        <w:pStyle w:val="HeadDivreiHesber"/>
        <w:rPr>
          <w:rtl/>
        </w:rPr>
      </w:pPr>
      <w:r>
        <w:rPr>
          <w:rtl/>
        </w:rPr>
        <w:br w:type="page"/>
      </w:r>
    </w:p>
    <w:p w14:paraId="7F6961CA" w14:textId="77777777" w:rsidR="002D1EE3" w:rsidRPr="00A868FA" w:rsidRDefault="002D1EE3" w:rsidP="00A868FA">
      <w:pPr>
        <w:pStyle w:val="HeadDivreiHesber"/>
        <w:rPr>
          <w:rtl/>
        </w:rPr>
      </w:pPr>
      <w:r w:rsidRPr="00A868FA">
        <w:rPr>
          <w:rFonts w:hint="cs"/>
          <w:rtl/>
        </w:rPr>
        <w:lastRenderedPageBreak/>
        <w:t>דברי הסבר</w:t>
      </w:r>
    </w:p>
    <w:p w14:paraId="78A89E13" w14:textId="77777777" w:rsidR="007F1DC7" w:rsidRPr="00A868FA" w:rsidRDefault="007F1DC7" w:rsidP="00A868FA">
      <w:pPr>
        <w:pStyle w:val="Hesber"/>
        <w:rPr>
          <w:rtl/>
        </w:rPr>
      </w:pPr>
      <w:r w:rsidRPr="00A868FA">
        <w:rPr>
          <w:rtl/>
        </w:rPr>
        <w:t xml:space="preserve">הצעת חוק </w:t>
      </w:r>
      <w:r w:rsidRPr="00A868FA">
        <w:rPr>
          <w:rFonts w:hint="cs"/>
          <w:rtl/>
        </w:rPr>
        <w:t>זו נועדה לבטל בישראל את אחת מצורות ההתעללות הקשות ביותר בבעלי חיים: ההחזקה של תרנגולות בתעשיית הביצים בכלובים צרים, שאינם מאפשרים לתרנגולת במשך כל חייה כמעט שום צורה של התנהגות טבעית</w:t>
      </w:r>
      <w:r w:rsidRPr="00A868FA">
        <w:rPr>
          <w:rtl/>
        </w:rPr>
        <w:t>.</w:t>
      </w:r>
    </w:p>
    <w:p w14:paraId="77C53390" w14:textId="77777777" w:rsidR="007F1DC7" w:rsidRPr="00A868FA" w:rsidRDefault="007F1DC7" w:rsidP="00A868FA">
      <w:pPr>
        <w:pStyle w:val="Hesber"/>
        <w:rPr>
          <w:rtl/>
        </w:rPr>
      </w:pPr>
      <w:r w:rsidRPr="00A868FA">
        <w:rPr>
          <w:rFonts w:hint="cs"/>
          <w:rtl/>
        </w:rPr>
        <w:t>ישנן שיטות מודרניות להחזקת תרנגולות שלא בכלובים, באופן שהוא חסכני בשטח, כלכלי מבחינת עלויות הייצור ומבטיח את בריאות הציבור</w:t>
      </w:r>
      <w:r w:rsidRPr="00A868FA">
        <w:rPr>
          <w:rtl/>
        </w:rPr>
        <w:t>.</w:t>
      </w:r>
    </w:p>
    <w:p w14:paraId="63581478" w14:textId="77777777" w:rsidR="007F1DC7" w:rsidRPr="00A868FA" w:rsidRDefault="007F1DC7" w:rsidP="00A868FA">
      <w:pPr>
        <w:pStyle w:val="Hesber"/>
        <w:rPr>
          <w:rtl/>
        </w:rPr>
      </w:pPr>
      <w:r w:rsidRPr="00A868FA">
        <w:rPr>
          <w:rFonts w:hint="cs"/>
          <w:rtl/>
        </w:rPr>
        <w:t>בכלוב אין לתרנגולת אפשרות לבטא כמעט שום התנהגות טבעית. היחס אליה הוא כאל מכונת הטלה ולא כאל יצור חי. לעומת זאת, שיטות גידול תעשייתיות, שאינן מבוססות על כלובים, מספקות לתרנגולת תנאים בסיסיים חיוניים, וביניהם את האפשרות למתוח כנפיים, לנקר ולחטט בקרקע, להלך ולהתעופף למרחקים קצרים. הם מאפשרים לתרנגולת להסתתר בעת הטלת הביצים ולהתנקות באמצעות "אמבטיית חול"</w:t>
      </w:r>
      <w:r w:rsidRPr="00A868FA">
        <w:rPr>
          <w:rtl/>
        </w:rPr>
        <w:t>.</w:t>
      </w:r>
      <w:r w:rsidRPr="00A868FA">
        <w:rPr>
          <w:rFonts w:hint="cs"/>
          <w:rtl/>
        </w:rPr>
        <w:t xml:space="preserve"> הדרישות שבהצעת חוק זו משקפות את הידע המדעי העדכני ביותר בדבר צרכיהן של תרנגולות, ואת הטכנולוגיות המודרניות להחזקת התרנגולות באופן שיספק במידה סבירה צרכים בסיסיים שלהן.</w:t>
      </w:r>
    </w:p>
    <w:p w14:paraId="451634DB" w14:textId="77777777" w:rsidR="007F1DC7" w:rsidRPr="00A868FA" w:rsidRDefault="007F1DC7" w:rsidP="00A868FA">
      <w:pPr>
        <w:pStyle w:val="Hesber"/>
        <w:rPr>
          <w:rtl/>
        </w:rPr>
      </w:pPr>
      <w:r w:rsidRPr="00A868FA">
        <w:rPr>
          <w:rFonts w:hint="cs"/>
          <w:rtl/>
        </w:rPr>
        <w:t xml:space="preserve">אין שום הצדקה לכלוא את התרנגולת בכלוב אכזרי, כאשר ישנן שיטות כלכליות לייצור ביצים, אשר מפחיתות באופן משמעותי את הפגיעה בתרנגולת. </w:t>
      </w:r>
    </w:p>
    <w:p w14:paraId="7FF699A9" w14:textId="77777777" w:rsidR="007F1DC7" w:rsidRPr="00A868FA" w:rsidRDefault="007F1DC7" w:rsidP="00A868FA">
      <w:pPr>
        <w:pStyle w:val="Hesber"/>
        <w:rPr>
          <w:rtl/>
        </w:rPr>
      </w:pPr>
      <w:r w:rsidRPr="00A868FA">
        <w:rPr>
          <w:rFonts w:hint="cs"/>
          <w:rtl/>
        </w:rPr>
        <w:t>בשורה של מדינות נאסרה לחלוטין ההחזקה של תרנגולות בכלובים מכל סוג שהוא (זאת, לצד מדינות שהורו להגדיל את הכלובים ולהוסיף להם ציוד מסוים). תאגידי מזון והסעדה ורשתות שיווק רבות ברחבי העולם אימצו מדיניות של מעבר לביצים שאינן מכלובים. כמעט מחצית התרנגולות באיחוד האירופי מוחזקות כבר היום במבנים ללא כלובים, לעתים עם יציאה לחצר. המגמה העולמית מצביעה על כך שהן מבחינת המודעות למניעת צער בעלי חיים והן מבחינה כלכלית-שיווקית, אין עתיד ללולים מבוססי כלובים.</w:t>
      </w:r>
    </w:p>
    <w:p w14:paraId="3271DC03" w14:textId="77777777" w:rsidR="007F1DC7" w:rsidRPr="00A868FA" w:rsidRDefault="007F1DC7" w:rsidP="00A868FA">
      <w:pPr>
        <w:pStyle w:val="Hesber"/>
        <w:rPr>
          <w:rtl/>
        </w:rPr>
      </w:pPr>
      <w:r w:rsidRPr="00A868FA">
        <w:rPr>
          <w:rtl/>
        </w:rPr>
        <w:t xml:space="preserve">חוק צער בעלי חיים הישראלי אוסר על גרימת סבל לבעלי חיים, </w:t>
      </w:r>
      <w:r w:rsidRPr="00A868FA">
        <w:rPr>
          <w:rFonts w:hint="cs"/>
          <w:rtl/>
        </w:rPr>
        <w:t>אם</w:t>
      </w:r>
      <w:r w:rsidRPr="00A868FA">
        <w:rPr>
          <w:rtl/>
        </w:rPr>
        <w:t xml:space="preserve"> ניתן להשיג את המטרה בדרכים חלופיות </w:t>
      </w:r>
      <w:r w:rsidRPr="00A868FA">
        <w:rPr>
          <w:rFonts w:hint="cs"/>
          <w:rtl/>
        </w:rPr>
        <w:t xml:space="preserve">סבירות </w:t>
      </w:r>
      <w:r w:rsidRPr="00A868FA">
        <w:rPr>
          <w:rtl/>
        </w:rPr>
        <w:t xml:space="preserve">שהן פוגעניות פחות. </w:t>
      </w:r>
      <w:r w:rsidRPr="00A868FA">
        <w:rPr>
          <w:rFonts w:hint="cs"/>
          <w:rtl/>
        </w:rPr>
        <w:t>לאור זאת, כבר היום כלובי התרנגולות מנוגדים לחוק צער בעלי חיים. עם זאת, נוכח היקף ההחזקה בכלובים, ראוי שהמעבר לשיטות ללא כלובים יהיה מדורג, כדי להתחשב בחקלאים המתפרנסים מתעשיית הביצים. ההצעה הנוכחית מחייבת מעבר לגידול ללא כלובים רק בלולים חדשים או בלולים שעוברים שיפוץ או הקמה מחדש.</w:t>
      </w:r>
    </w:p>
    <w:p w14:paraId="55121D0E" w14:textId="2705911F" w:rsidR="007F1DC7" w:rsidRDefault="007F1DC7" w:rsidP="001C4CF6">
      <w:pPr>
        <w:pStyle w:val="Hesber"/>
        <w:rPr>
          <w:rtl/>
        </w:rPr>
      </w:pPr>
      <w:r w:rsidRPr="00A868FA">
        <w:rPr>
          <w:rFonts w:hint="cs"/>
          <w:rtl/>
        </w:rPr>
        <w:t>הצע</w:t>
      </w:r>
      <w:r w:rsidR="007C48D9">
        <w:rPr>
          <w:rFonts w:hint="cs"/>
          <w:rtl/>
        </w:rPr>
        <w:t>ו</w:t>
      </w:r>
      <w:r w:rsidRPr="00A868FA">
        <w:rPr>
          <w:rFonts w:hint="cs"/>
          <w:rtl/>
        </w:rPr>
        <w:t>ת חוק זה</w:t>
      </w:r>
      <w:r w:rsidR="007C48D9">
        <w:rPr>
          <w:rFonts w:hint="cs"/>
          <w:rtl/>
        </w:rPr>
        <w:t>ות</w:t>
      </w:r>
      <w:r w:rsidRPr="00A868FA">
        <w:rPr>
          <w:rFonts w:hint="cs"/>
          <w:rtl/>
        </w:rPr>
        <w:t xml:space="preserve"> הונח</w:t>
      </w:r>
      <w:r w:rsidR="007C48D9">
        <w:rPr>
          <w:rFonts w:hint="cs"/>
          <w:rtl/>
        </w:rPr>
        <w:t>ו</w:t>
      </w:r>
      <w:r w:rsidRPr="00A868FA">
        <w:rPr>
          <w:rFonts w:hint="cs"/>
          <w:rtl/>
        </w:rPr>
        <w:t xml:space="preserve"> על שולחן הכנסת העשרים על ידי חבר הכנסת יעקב מרגי וקבוצת חברי הכנסת (פ/2217/20)</w:t>
      </w:r>
      <w:r w:rsidR="007C48D9">
        <w:rPr>
          <w:rFonts w:hint="cs"/>
          <w:rtl/>
        </w:rPr>
        <w:t>, ועל שולחן</w:t>
      </w:r>
      <w:r w:rsidR="001C4CF6">
        <w:rPr>
          <w:rFonts w:hint="cs"/>
          <w:rtl/>
        </w:rPr>
        <w:t xml:space="preserve"> הכנסת העשרים ושתיים על ידי חברי</w:t>
      </w:r>
      <w:r w:rsidR="007C48D9">
        <w:rPr>
          <w:rFonts w:hint="cs"/>
          <w:rtl/>
        </w:rPr>
        <w:t xml:space="preserve"> הכנסת מיקי חיימוביץ' </w:t>
      </w:r>
      <w:r w:rsidR="001C4CF6">
        <w:rPr>
          <w:rFonts w:hint="cs"/>
          <w:rtl/>
        </w:rPr>
        <w:t>ו</w:t>
      </w:r>
      <w:r w:rsidR="007C48D9">
        <w:rPr>
          <w:rFonts w:hint="cs"/>
          <w:rtl/>
        </w:rPr>
        <w:t>אלי אבידר (פ/403/22)</w:t>
      </w:r>
      <w:r w:rsidR="001C4CF6">
        <w:rPr>
          <w:rFonts w:hint="cs"/>
          <w:rtl/>
        </w:rPr>
        <w:t>.</w:t>
      </w:r>
    </w:p>
    <w:p w14:paraId="5DA23DC6" w14:textId="77777777" w:rsidR="0067024A" w:rsidRDefault="0067024A" w:rsidP="001C4CF6">
      <w:pPr>
        <w:pStyle w:val="Hesber"/>
        <w:rPr>
          <w:rtl/>
        </w:rPr>
      </w:pPr>
    </w:p>
    <w:p w14:paraId="1A88AD6D" w14:textId="77777777" w:rsidR="0067024A" w:rsidRPr="00D73212" w:rsidRDefault="0067024A" w:rsidP="0067024A">
      <w:pPr>
        <w:pStyle w:val="Hesber"/>
        <w:rPr>
          <w:rtl/>
        </w:rPr>
      </w:pPr>
      <w:r w:rsidRPr="00D73212">
        <w:rPr>
          <w:rtl/>
        </w:rPr>
        <w:t>---------------------------------</w:t>
      </w:r>
    </w:p>
    <w:p w14:paraId="0871F7A8" w14:textId="77777777" w:rsidR="0067024A" w:rsidRPr="00D73212" w:rsidRDefault="0067024A" w:rsidP="0067024A">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17369F55" w14:textId="77777777" w:rsidR="0067024A" w:rsidRPr="00D73212" w:rsidRDefault="0067024A" w:rsidP="0067024A">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1001A114" w14:textId="3FC579A6" w:rsidR="00EE18F4" w:rsidRPr="00A868FA" w:rsidRDefault="0067024A" w:rsidP="0067024A">
      <w:pPr>
        <w:pStyle w:val="Hesber"/>
        <w:rPr>
          <w:rtl/>
        </w:rPr>
      </w:pPr>
      <w:r>
        <w:rPr>
          <w:rFonts w:hint="cs"/>
          <w:rtl/>
        </w:rPr>
        <w:t xml:space="preserve">י' באייר התש"ף </w:t>
      </w:r>
      <w:r w:rsidRPr="00D73212">
        <w:rPr>
          <w:rtl/>
        </w:rPr>
        <w:t>–</w:t>
      </w:r>
      <w:r>
        <w:rPr>
          <w:rFonts w:hint="cs"/>
          <w:rtl/>
        </w:rPr>
        <w:t xml:space="preserve"> 4.5</w:t>
      </w:r>
      <w:r w:rsidRPr="00D73212">
        <w:rPr>
          <w:rtl/>
        </w:rPr>
        <w:t>.</w:t>
      </w:r>
      <w:r>
        <w:rPr>
          <w:rFonts w:hint="cs"/>
          <w:rtl/>
        </w:rPr>
        <w:t xml:space="preserve">20  </w:t>
      </w:r>
      <w:bookmarkStart w:id="8" w:name="_GoBack"/>
      <w:bookmarkEnd w:id="8"/>
    </w:p>
    <w:sectPr w:rsidR="00EE18F4" w:rsidRPr="00A868FA" w:rsidSect="005D1C2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7024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D1C2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B4469AD" w14:textId="77777777" w:rsidR="007F1DC7" w:rsidRDefault="007F1DC7" w:rsidP="007F1DC7">
      <w:pPr>
        <w:pStyle w:val="a4"/>
      </w:pPr>
      <w:r>
        <w:rPr>
          <w:rStyle w:val="a5"/>
        </w:rPr>
        <w:footnoteRef/>
      </w:r>
      <w:r>
        <w:rPr>
          <w:sz w:val="20"/>
          <w:rtl/>
        </w:rPr>
        <w:t xml:space="preserve"> ס"ח התשנ"ד, עמ'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C4CF6"/>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1C2C"/>
    <w:rsid w:val="005D51AE"/>
    <w:rsid w:val="005D750A"/>
    <w:rsid w:val="0062674B"/>
    <w:rsid w:val="006363B2"/>
    <w:rsid w:val="00644940"/>
    <w:rsid w:val="0067024A"/>
    <w:rsid w:val="006818A9"/>
    <w:rsid w:val="006A2D81"/>
    <w:rsid w:val="006C1D0D"/>
    <w:rsid w:val="0070601E"/>
    <w:rsid w:val="00712C72"/>
    <w:rsid w:val="00735FE9"/>
    <w:rsid w:val="00763CAA"/>
    <w:rsid w:val="00765F66"/>
    <w:rsid w:val="0078664F"/>
    <w:rsid w:val="007A27CE"/>
    <w:rsid w:val="007C3FA6"/>
    <w:rsid w:val="007C48D9"/>
    <w:rsid w:val="007D585A"/>
    <w:rsid w:val="007D5A12"/>
    <w:rsid w:val="007E59F9"/>
    <w:rsid w:val="007F1DC7"/>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868FA"/>
    <w:rsid w:val="00A942C1"/>
    <w:rsid w:val="00AA2F03"/>
    <w:rsid w:val="00AC36F7"/>
    <w:rsid w:val="00AC63A4"/>
    <w:rsid w:val="00AD239E"/>
    <w:rsid w:val="00B10265"/>
    <w:rsid w:val="00B16A99"/>
    <w:rsid w:val="00B21211"/>
    <w:rsid w:val="00B35784"/>
    <w:rsid w:val="00B72543"/>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18F4"/>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C8D5F95-7C11-4568-87B8-FEB70479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C2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D1C2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D1C2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D1C2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D1C2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D1C2C"/>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D1C2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D1C2C"/>
    <w:rPr>
      <w:sz w:val="36"/>
      <w:szCs w:val="52"/>
    </w:rPr>
  </w:style>
  <w:style w:type="paragraph" w:customStyle="1" w:styleId="Cover3-Haknesset">
    <w:name w:val="Cover 3-Haknesset"/>
    <w:basedOn w:val="Cover1-Reshumot"/>
    <w:rsid w:val="005D1C2C"/>
    <w:rPr>
      <w:b/>
      <w:bCs/>
      <w:spacing w:val="60"/>
    </w:rPr>
  </w:style>
  <w:style w:type="paragraph" w:customStyle="1" w:styleId="Cover4-Date">
    <w:name w:val="Cover 4-Date"/>
    <w:basedOn w:val="a"/>
    <w:rsid w:val="005D1C2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D1C2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D1C2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D1C2C"/>
    <w:pPr>
      <w:spacing w:before="120" w:after="120"/>
    </w:pPr>
    <w:rPr>
      <w:color w:val="FF0000"/>
      <w:w w:val="80"/>
    </w:rPr>
  </w:style>
  <w:style w:type="paragraph" w:styleId="a3">
    <w:name w:val="endnote text"/>
    <w:basedOn w:val="a"/>
    <w:semiHidden/>
    <w:rsid w:val="005D1C2C"/>
    <w:pPr>
      <w:ind w:left="227" w:hanging="227"/>
    </w:pPr>
    <w:rPr>
      <w:sz w:val="14"/>
      <w:szCs w:val="22"/>
    </w:rPr>
  </w:style>
  <w:style w:type="paragraph" w:customStyle="1" w:styleId="TableText">
    <w:name w:val="Table Text"/>
    <w:basedOn w:val="a"/>
    <w:rsid w:val="005D1C2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D1C2C"/>
    <w:pPr>
      <w:outlineLvl w:val="2"/>
    </w:pPr>
  </w:style>
  <w:style w:type="paragraph" w:customStyle="1" w:styleId="TableBlock">
    <w:name w:val="Table Block"/>
    <w:basedOn w:val="TableText"/>
    <w:rsid w:val="005D1C2C"/>
    <w:pPr>
      <w:jc w:val="both"/>
    </w:pPr>
  </w:style>
  <w:style w:type="paragraph" w:customStyle="1" w:styleId="TableHead">
    <w:name w:val="Table Head"/>
    <w:basedOn w:val="TableText"/>
    <w:rsid w:val="005D1C2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D1C2C"/>
    <w:pPr>
      <w:outlineLvl w:val="9"/>
    </w:pPr>
  </w:style>
  <w:style w:type="paragraph" w:customStyle="1" w:styleId="Hesber">
    <w:name w:val="Hesber"/>
    <w:basedOn w:val="a"/>
    <w:rsid w:val="005D1C2C"/>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D1C2C"/>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D1C2C"/>
    <w:rPr>
      <w:vertAlign w:val="superscript"/>
    </w:rPr>
  </w:style>
  <w:style w:type="paragraph" w:customStyle="1" w:styleId="HesberHeading">
    <w:name w:val="Hesber Heading"/>
    <w:basedOn w:val="Hesber"/>
    <w:rsid w:val="005D1C2C"/>
    <w:pPr>
      <w:tabs>
        <w:tab w:val="left" w:pos="624"/>
        <w:tab w:val="left" w:pos="1247"/>
      </w:tabs>
    </w:pPr>
    <w:rPr>
      <w:b/>
      <w:bCs/>
    </w:rPr>
  </w:style>
  <w:style w:type="paragraph" w:customStyle="1" w:styleId="HesberWriters">
    <w:name w:val="Hesber Writers"/>
    <w:basedOn w:val="Hesber"/>
    <w:rsid w:val="005D1C2C"/>
    <w:pPr>
      <w:spacing w:before="120" w:after="120"/>
      <w:ind w:left="1418"/>
      <w:jc w:val="right"/>
    </w:pPr>
    <w:rPr>
      <w:b/>
      <w:bCs/>
    </w:rPr>
  </w:style>
  <w:style w:type="paragraph" w:customStyle="1" w:styleId="Hesber1st">
    <w:name w:val="Hesber 1st"/>
    <w:basedOn w:val="Hesber"/>
    <w:rsid w:val="005D1C2C"/>
    <w:pPr>
      <w:tabs>
        <w:tab w:val="left" w:pos="680"/>
        <w:tab w:val="left" w:pos="1020"/>
      </w:tabs>
      <w:ind w:firstLine="0"/>
    </w:pPr>
  </w:style>
  <w:style w:type="character" w:styleId="a6">
    <w:name w:val="endnote reference"/>
    <w:basedOn w:val="a0"/>
    <w:semiHidden/>
    <w:rsid w:val="005D1C2C"/>
    <w:rPr>
      <w:vertAlign w:val="superscript"/>
    </w:rPr>
  </w:style>
  <w:style w:type="paragraph" w:customStyle="1" w:styleId="TableBlockOutdent">
    <w:name w:val="Table BlockOutdent"/>
    <w:basedOn w:val="TableBlock"/>
    <w:rsid w:val="005D1C2C"/>
    <w:pPr>
      <w:ind w:left="624" w:hanging="624"/>
    </w:pPr>
  </w:style>
  <w:style w:type="paragraph" w:styleId="a7">
    <w:name w:val="header"/>
    <w:basedOn w:val="a"/>
    <w:rsid w:val="005D1C2C"/>
    <w:pPr>
      <w:tabs>
        <w:tab w:val="center" w:pos="4153"/>
        <w:tab w:val="right" w:pos="8306"/>
      </w:tabs>
    </w:pPr>
  </w:style>
  <w:style w:type="paragraph" w:styleId="a8">
    <w:name w:val="footer"/>
    <w:basedOn w:val="a"/>
    <w:rsid w:val="005D1C2C"/>
    <w:pPr>
      <w:tabs>
        <w:tab w:val="center" w:pos="4153"/>
        <w:tab w:val="right" w:pos="8306"/>
      </w:tabs>
    </w:pPr>
  </w:style>
  <w:style w:type="paragraph" w:customStyle="1" w:styleId="HeadDivreiHesber">
    <w:name w:val="Head DivreiHesber"/>
    <w:basedOn w:val="a"/>
    <w:rsid w:val="005D1C2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D1C2C"/>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D1C2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D1C2C"/>
    <w:rPr>
      <w:rFonts w:asciiTheme="majorHAnsi" w:eastAsiaTheme="majorEastAsia" w:hAnsiTheme="majorHAnsi" w:cs="David"/>
      <w:bCs/>
      <w:sz w:val="32"/>
      <w:szCs w:val="36"/>
    </w:rPr>
  </w:style>
  <w:style w:type="character" w:customStyle="1" w:styleId="20">
    <w:name w:val="כותרת 2 תו"/>
    <w:basedOn w:val="a0"/>
    <w:link w:val="2"/>
    <w:rsid w:val="005D1C2C"/>
    <w:rPr>
      <w:rFonts w:asciiTheme="majorHAnsi" w:eastAsiaTheme="majorEastAsia" w:hAnsiTheme="majorHAnsi" w:cs="David"/>
      <w:bCs/>
      <w:sz w:val="26"/>
      <w:szCs w:val="36"/>
      <w:u w:val="single"/>
    </w:rPr>
  </w:style>
  <w:style w:type="character" w:customStyle="1" w:styleId="30">
    <w:name w:val="כותרת 3 תו"/>
    <w:basedOn w:val="a0"/>
    <w:link w:val="3"/>
    <w:rsid w:val="005D1C2C"/>
    <w:rPr>
      <w:rFonts w:asciiTheme="majorHAnsi" w:eastAsiaTheme="majorEastAsia" w:hAnsiTheme="majorHAnsi" w:cs="David"/>
      <w:sz w:val="24"/>
      <w:szCs w:val="28"/>
      <w:u w:val="double"/>
    </w:rPr>
  </w:style>
  <w:style w:type="character" w:customStyle="1" w:styleId="40">
    <w:name w:val="כותרת 4 תו"/>
    <w:basedOn w:val="a0"/>
    <w:link w:val="4"/>
    <w:uiPriority w:val="9"/>
    <w:rsid w:val="005D1C2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D1C2C"/>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D1C2C"/>
    <w:pPr>
      <w:widowControl/>
      <w:spacing w:before="120" w:after="120"/>
      <w:outlineLvl w:val="9"/>
    </w:pPr>
    <w:rPr>
      <w:rtl/>
      <w:cs/>
    </w:rPr>
  </w:style>
  <w:style w:type="paragraph" w:styleId="TOC1">
    <w:name w:val="toc 1"/>
    <w:basedOn w:val="a"/>
    <w:next w:val="a"/>
    <w:autoRedefine/>
    <w:uiPriority w:val="39"/>
    <w:unhideWhenUsed/>
    <w:rsid w:val="005D1C2C"/>
    <w:pPr>
      <w:tabs>
        <w:tab w:val="right" w:leader="dot" w:pos="9629"/>
      </w:tabs>
      <w:spacing w:after="100"/>
    </w:pPr>
    <w:rPr>
      <w:bCs/>
      <w:szCs w:val="22"/>
    </w:rPr>
  </w:style>
  <w:style w:type="paragraph" w:styleId="TOC2">
    <w:name w:val="toc 2"/>
    <w:basedOn w:val="a"/>
    <w:next w:val="a"/>
    <w:uiPriority w:val="39"/>
    <w:unhideWhenUsed/>
    <w:rsid w:val="005D1C2C"/>
    <w:pPr>
      <w:tabs>
        <w:tab w:val="right" w:leader="dot" w:pos="9628"/>
      </w:tabs>
      <w:spacing w:after="100"/>
    </w:pPr>
    <w:rPr>
      <w:szCs w:val="22"/>
    </w:rPr>
  </w:style>
  <w:style w:type="character" w:styleId="Hyperlink">
    <w:name w:val="Hyperlink"/>
    <w:basedOn w:val="a0"/>
    <w:uiPriority w:val="99"/>
    <w:unhideWhenUsed/>
    <w:rsid w:val="005D1C2C"/>
    <w:rPr>
      <w:color w:val="0000FF" w:themeColor="hyperlink"/>
      <w:u w:val="single"/>
    </w:rPr>
  </w:style>
  <w:style w:type="paragraph" w:styleId="TOC3">
    <w:name w:val="toc 3"/>
    <w:basedOn w:val="a"/>
    <w:next w:val="a"/>
    <w:uiPriority w:val="39"/>
    <w:unhideWhenUsed/>
    <w:rsid w:val="005D1C2C"/>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D1C2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D1C2C"/>
    <w:pPr>
      <w:tabs>
        <w:tab w:val="right" w:leader="dot" w:pos="9628"/>
      </w:tabs>
      <w:spacing w:after="100"/>
      <w:ind w:left="567"/>
    </w:pPr>
    <w:rPr>
      <w:szCs w:val="22"/>
    </w:rPr>
  </w:style>
  <w:style w:type="paragraph" w:styleId="TOC6">
    <w:name w:val="toc 6"/>
    <w:basedOn w:val="a"/>
    <w:next w:val="a"/>
    <w:autoRedefine/>
    <w:semiHidden/>
    <w:unhideWhenUsed/>
    <w:rsid w:val="005D1C2C"/>
    <w:pPr>
      <w:spacing w:after="100"/>
      <w:ind w:left="850"/>
    </w:pPr>
  </w:style>
  <w:style w:type="paragraph" w:styleId="TOC7">
    <w:name w:val="toc 7"/>
    <w:basedOn w:val="a"/>
    <w:next w:val="a"/>
    <w:autoRedefine/>
    <w:semiHidden/>
    <w:unhideWhenUsed/>
    <w:rsid w:val="005D1C2C"/>
    <w:pPr>
      <w:spacing w:after="100"/>
      <w:ind w:left="1020"/>
    </w:pPr>
  </w:style>
  <w:style w:type="paragraph" w:styleId="TOC8">
    <w:name w:val="toc 8"/>
    <w:basedOn w:val="a"/>
    <w:next w:val="a"/>
    <w:autoRedefine/>
    <w:semiHidden/>
    <w:unhideWhenUsed/>
    <w:rsid w:val="005D1C2C"/>
    <w:pPr>
      <w:spacing w:after="100"/>
      <w:ind w:left="1190"/>
    </w:pPr>
  </w:style>
  <w:style w:type="paragraph" w:styleId="TOC9">
    <w:name w:val="toc 9"/>
    <w:basedOn w:val="a"/>
    <w:next w:val="a"/>
    <w:autoRedefine/>
    <w:semiHidden/>
    <w:unhideWhenUsed/>
    <w:rsid w:val="005D1C2C"/>
    <w:pPr>
      <w:spacing w:after="100"/>
      <w:ind w:left="1360"/>
    </w:pPr>
  </w:style>
  <w:style w:type="paragraph" w:customStyle="1" w:styleId="TableHead2">
    <w:name w:val="Table Head2"/>
    <w:basedOn w:val="TableHead"/>
    <w:qFormat/>
    <w:rsid w:val="005D1C2C"/>
    <w:pPr>
      <w:outlineLvl w:val="9"/>
    </w:pPr>
  </w:style>
  <w:style w:type="paragraph" w:customStyle="1" w:styleId="TableSideHeading2">
    <w:name w:val="Table SideHeading2"/>
    <w:basedOn w:val="TableSideHeading"/>
    <w:autoRedefine/>
    <w:qFormat/>
    <w:rsid w:val="005D1C2C"/>
    <w:pPr>
      <w:keepLines w:val="0"/>
      <w:outlineLvl w:val="9"/>
    </w:pPr>
  </w:style>
  <w:style w:type="paragraph" w:customStyle="1" w:styleId="0">
    <w:name w:val="סגנון שורה ראשונה:  0  ס''מ"/>
    <w:basedOn w:val="2"/>
    <w:rsid w:val="005D1C2C"/>
    <w:rPr>
      <w:rFonts w:eastAsia="Times New Roman"/>
    </w:rPr>
  </w:style>
  <w:style w:type="paragraph" w:styleId="ae">
    <w:name w:val="List Paragraph"/>
    <w:basedOn w:val="a"/>
    <w:uiPriority w:val="34"/>
    <w:qFormat/>
    <w:rsid w:val="005D1C2C"/>
    <w:pPr>
      <w:widowControl/>
      <w:spacing w:line="259" w:lineRule="auto"/>
    </w:pPr>
    <w:rPr>
      <w:rFonts w:asciiTheme="minorHAnsi" w:hAnsiTheme="minorHAnsi"/>
      <w:sz w:val="22"/>
    </w:rPr>
  </w:style>
  <w:style w:type="table" w:styleId="af">
    <w:name w:val="Table Grid"/>
    <w:basedOn w:val="a1"/>
    <w:rsid w:val="005D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D1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D1C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D1C2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D1C2C"/>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DC3AD-40D7-4BE9-BD65-76B1FA6B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3C59C1B-0E04-43C0-BB8F-5B99B737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488</Words>
  <Characters>2786</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2013-07-04T08:25:00Z</cp:lastPrinted>
  <dcterms:created xsi:type="dcterms:W3CDTF">2015-04-20T09:58:00Z</dcterms:created>
  <dcterms:modified xsi:type="dcterms:W3CDTF">2020-04-30T09:12:00Z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2085903</vt:r8>
  </property>
</Properties>
</file>