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2085960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מיקי חיימוביץ'</w:t>
      </w:r>
      <w:bookmarkEnd w:id="3"/>
    </w:p>
    <w:p w14:paraId="34DB4103" w14:textId="77777777" w:rsidR="00904591" w:rsidRPr="00904591" w:rsidRDefault="00266D86" w:rsidP="0036422C">
      <w:pPr>
        <w:pStyle w:val="David"/>
        <w:spacing w:before="0" w:line="360" w:lineRule="auto"/>
        <w:ind w:left="3544"/>
        <w:rPr>
          <w:sz w:val="4"/>
          <w:szCs w:val="4"/>
          <w:rtl/>
        </w:rPr>
      </w:pPr>
      <w:bookmarkStart w:id="4" w:name="_GoBack"/>
      <w:bookmarkEnd w:id="4"/>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5" w:name="Private_Number"/>
      <w:r>
        <w:rPr>
          <w:rFonts w:hint="cs"/>
          <w:rtl/>
        </w:rPr>
        <w:t>פ/466/23</w:t>
      </w:r>
      <w:bookmarkEnd w:id="5"/>
    </w:p>
    <w:p w14:paraId="7F6961AD" w14:textId="77777777" w:rsidR="00E13C27" w:rsidRPr="00F67051" w:rsidRDefault="00A443CF" w:rsidP="0021633A">
      <w:pPr>
        <w:pStyle w:val="HeadHatzaotHok"/>
        <w:rPr>
          <w:rtl/>
        </w:rPr>
      </w:pPr>
      <w:bookmarkStart w:id="6" w:name="LGS_Subject"/>
      <w:r>
        <w:rPr>
          <w:rFonts w:hint="cs"/>
          <w:rtl/>
        </w:rPr>
        <w:t>הצעת חוק לתיקון פקודת היערות (הגברת ההגנה על עצים בוגרים), התש"ף–2020</w:t>
      </w:r>
      <w:bookmarkEnd w:id="6"/>
    </w:p>
    <w:tbl>
      <w:tblPr>
        <w:bidiVisual/>
        <w:tblW w:w="9642" w:type="dxa"/>
        <w:tblInd w:w="-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7"/>
      </w:tblGrid>
      <w:tr w:rsidR="009C7873" w14:paraId="146CBD0A" w14:textId="77777777" w:rsidTr="003B6C7D">
        <w:trPr>
          <w:cantSplit/>
        </w:trPr>
        <w:tc>
          <w:tcPr>
            <w:tcW w:w="1871" w:type="dxa"/>
            <w:hideMark/>
          </w:tcPr>
          <w:p w14:paraId="76B23D26" w14:textId="77777777" w:rsidR="009C7873" w:rsidRDefault="009C7873" w:rsidP="003B6C7D">
            <w:pPr>
              <w:pStyle w:val="TableSideHeading"/>
              <w:keepLines w:val="0"/>
              <w:rPr>
                <w:sz w:val="26"/>
                <w:rtl/>
              </w:rPr>
            </w:pPr>
            <w:r>
              <w:rPr>
                <w:sz w:val="26"/>
                <w:rtl/>
              </w:rPr>
              <w:t>תיקון סעיף 15</w:t>
            </w:r>
          </w:p>
        </w:tc>
        <w:tc>
          <w:tcPr>
            <w:tcW w:w="624" w:type="dxa"/>
            <w:hideMark/>
          </w:tcPr>
          <w:p w14:paraId="2EE0E20D" w14:textId="77777777" w:rsidR="009C7873" w:rsidRDefault="009C7873" w:rsidP="003B6C7D">
            <w:pPr>
              <w:pStyle w:val="TableText"/>
              <w:keepLines w:val="0"/>
              <w:rPr>
                <w:rtl/>
              </w:rPr>
            </w:pPr>
            <w:r>
              <w:rPr>
                <w:rtl/>
              </w:rPr>
              <w:t>1.</w:t>
            </w:r>
          </w:p>
        </w:tc>
        <w:tc>
          <w:tcPr>
            <w:tcW w:w="7147" w:type="dxa"/>
            <w:hideMark/>
          </w:tcPr>
          <w:p w14:paraId="044CE152" w14:textId="77777777" w:rsidR="009C7873" w:rsidRDefault="009C7873" w:rsidP="003B6C7D">
            <w:pPr>
              <w:pStyle w:val="TableBlock"/>
              <w:rPr>
                <w:rtl/>
              </w:rPr>
            </w:pPr>
            <w:r>
              <w:rPr>
                <w:rtl/>
              </w:rPr>
              <w:t>בפקודת היערות</w:t>
            </w:r>
            <w:r>
              <w:rPr>
                <w:rStyle w:val="a6"/>
                <w:rtl/>
              </w:rPr>
              <w:footnoteReference w:id="2"/>
            </w:r>
            <w:r>
              <w:rPr>
                <w:rtl/>
              </w:rPr>
              <w:t xml:space="preserve"> (להלן</w:t>
            </w:r>
            <w:r>
              <w:t xml:space="preserve">– </w:t>
            </w:r>
            <w:r>
              <w:rPr>
                <w:rtl/>
              </w:rPr>
              <w:t xml:space="preserve"> </w:t>
            </w:r>
            <w:r>
              <w:rPr>
                <w:rFonts w:hint="cs"/>
                <w:rtl/>
              </w:rPr>
              <w:t>הפקודה), בסעיף 15, אחרי סעיף קטן (ב) יבוא:</w:t>
            </w:r>
          </w:p>
        </w:tc>
      </w:tr>
      <w:tr w:rsidR="009C7873" w14:paraId="4BC8DCDE" w14:textId="77777777" w:rsidTr="003B6C7D">
        <w:trPr>
          <w:cantSplit/>
        </w:trPr>
        <w:tc>
          <w:tcPr>
            <w:tcW w:w="1871" w:type="dxa"/>
          </w:tcPr>
          <w:p w14:paraId="2A9CEF97" w14:textId="77777777" w:rsidR="009C7873" w:rsidRDefault="009C7873" w:rsidP="003B6C7D">
            <w:pPr>
              <w:pStyle w:val="TableSideHeading"/>
              <w:keepLines w:val="0"/>
              <w:rPr>
                <w:sz w:val="26"/>
                <w:rtl/>
              </w:rPr>
            </w:pPr>
          </w:p>
        </w:tc>
        <w:tc>
          <w:tcPr>
            <w:tcW w:w="624" w:type="dxa"/>
          </w:tcPr>
          <w:p w14:paraId="61A04E38" w14:textId="77777777" w:rsidR="009C7873" w:rsidRDefault="009C7873" w:rsidP="003B6C7D">
            <w:pPr>
              <w:pStyle w:val="TableText"/>
              <w:rPr>
                <w:rtl/>
              </w:rPr>
            </w:pPr>
          </w:p>
        </w:tc>
        <w:tc>
          <w:tcPr>
            <w:tcW w:w="7147" w:type="dxa"/>
            <w:hideMark/>
          </w:tcPr>
          <w:p w14:paraId="5DE5966E" w14:textId="77777777" w:rsidR="009C7873" w:rsidRDefault="009C7873" w:rsidP="003B6C7D">
            <w:pPr>
              <w:pStyle w:val="TableBlock"/>
              <w:rPr>
                <w:rtl/>
              </w:rPr>
            </w:pPr>
            <w:r>
              <w:rPr>
                <w:rFonts w:hint="cs"/>
                <w:rtl/>
              </w:rPr>
              <w:t>"</w:t>
            </w:r>
            <w:r>
              <w:rPr>
                <w:rtl/>
              </w:rPr>
              <w:t>(ב1)</w:t>
            </w:r>
            <w:r>
              <w:rPr>
                <w:rtl/>
              </w:rPr>
              <w:tab/>
              <w:t xml:space="preserve">הודעה על החלטות כאמור בסעיף קטן (ב) תפורסם על חשבון מגיש הבקשה לרישיון, על גבי שלט שיוצב בשטח הציבורי הנגיש הסמוך ביותר, במיקום ובאופן שיקבע פקיד היערות, למשך תקופה של ארבעים וחמש יום לפחות; ההודעה תכלול את פרטי העצים ומבקש הרישיון, את ההחלטה ונימוקיה ואת תנאי הרישיון, וכן את תאריך מתן הרישיון, והמועד האחרון להגשת הערר; </w:t>
            </w:r>
            <w:r>
              <w:rPr>
                <w:sz w:val="26"/>
                <w:rtl/>
              </w:rPr>
              <w:t>העצים המיועדים לכריתה או להעתקה מכוח ההחלטה יסומנו באופן שיקבע השר</w:t>
            </w:r>
            <w:r>
              <w:rPr>
                <w:rtl/>
              </w:rPr>
              <w:t>.</w:t>
            </w:r>
          </w:p>
        </w:tc>
      </w:tr>
      <w:tr w:rsidR="009C7873" w14:paraId="06AC3F74" w14:textId="77777777" w:rsidTr="003B6C7D">
        <w:trPr>
          <w:cantSplit/>
        </w:trPr>
        <w:tc>
          <w:tcPr>
            <w:tcW w:w="1871" w:type="dxa"/>
          </w:tcPr>
          <w:p w14:paraId="73CE017E" w14:textId="77777777" w:rsidR="009C7873" w:rsidRDefault="009C7873" w:rsidP="003B6C7D">
            <w:pPr>
              <w:pStyle w:val="TableSideHeading"/>
              <w:keepLines w:val="0"/>
              <w:rPr>
                <w:sz w:val="26"/>
                <w:rtl/>
              </w:rPr>
            </w:pPr>
          </w:p>
        </w:tc>
        <w:tc>
          <w:tcPr>
            <w:tcW w:w="624" w:type="dxa"/>
          </w:tcPr>
          <w:p w14:paraId="411C3E9A" w14:textId="77777777" w:rsidR="009C7873" w:rsidRDefault="009C7873" w:rsidP="003B6C7D">
            <w:pPr>
              <w:pStyle w:val="TableText"/>
              <w:rPr>
                <w:rtl/>
              </w:rPr>
            </w:pPr>
          </w:p>
        </w:tc>
        <w:tc>
          <w:tcPr>
            <w:tcW w:w="7147" w:type="dxa"/>
            <w:hideMark/>
          </w:tcPr>
          <w:p w14:paraId="739A6F49" w14:textId="77777777" w:rsidR="009C7873" w:rsidRDefault="009C7873" w:rsidP="003B6C7D">
            <w:pPr>
              <w:pStyle w:val="TableBlock"/>
              <w:rPr>
                <w:rtl/>
              </w:rPr>
            </w:pPr>
            <w:r>
              <w:rPr>
                <w:rtl/>
              </w:rPr>
              <w:t>(ב2)</w:t>
            </w:r>
            <w:r>
              <w:rPr>
                <w:rtl/>
              </w:rPr>
              <w:tab/>
            </w:r>
            <w:r>
              <w:rPr>
                <w:sz w:val="26"/>
                <w:rtl/>
              </w:rPr>
              <w:t>לא קוימו ההוראות הנוגעות לפרסום בשטח שבו חל הרישיון כקבוע בסעיף זה – תיחשב ההחלטה על מתן הרישיון כבטלה, אך ניתן יהיה להגישה מחדש</w:t>
            </w:r>
            <w:r>
              <w:rPr>
                <w:rtl/>
              </w:rPr>
              <w:t>.</w:t>
            </w:r>
          </w:p>
        </w:tc>
      </w:tr>
      <w:tr w:rsidR="009C7873" w14:paraId="1A9FB41C" w14:textId="77777777" w:rsidTr="003B6C7D">
        <w:trPr>
          <w:cantSplit/>
        </w:trPr>
        <w:tc>
          <w:tcPr>
            <w:tcW w:w="1871" w:type="dxa"/>
          </w:tcPr>
          <w:p w14:paraId="190B0967" w14:textId="77777777" w:rsidR="009C7873" w:rsidRDefault="009C7873" w:rsidP="003B6C7D">
            <w:pPr>
              <w:pStyle w:val="TableSideHeading"/>
              <w:keepLines w:val="0"/>
              <w:rPr>
                <w:sz w:val="26"/>
                <w:rtl/>
              </w:rPr>
            </w:pPr>
          </w:p>
        </w:tc>
        <w:tc>
          <w:tcPr>
            <w:tcW w:w="624" w:type="dxa"/>
            <w:hideMark/>
          </w:tcPr>
          <w:p w14:paraId="57747A1A" w14:textId="77777777" w:rsidR="009C7873" w:rsidRDefault="009C7873" w:rsidP="003B6C7D">
            <w:pPr>
              <w:pStyle w:val="TableText"/>
              <w:rPr>
                <w:rtl/>
              </w:rPr>
            </w:pPr>
            <w:r>
              <w:rPr>
                <w:rtl/>
              </w:rPr>
              <w:tab/>
            </w:r>
          </w:p>
        </w:tc>
        <w:tc>
          <w:tcPr>
            <w:tcW w:w="7147" w:type="dxa"/>
            <w:hideMark/>
          </w:tcPr>
          <w:p w14:paraId="2A7D0E70" w14:textId="77777777" w:rsidR="009C7873" w:rsidRDefault="009C7873" w:rsidP="003B6C7D">
            <w:pPr>
              <w:pStyle w:val="TableBlock"/>
              <w:rPr>
                <w:rtl/>
              </w:rPr>
            </w:pPr>
            <w:r>
              <w:rPr>
                <w:rtl/>
              </w:rPr>
              <w:t>(ב3)</w:t>
            </w:r>
            <w:r>
              <w:rPr>
                <w:rtl/>
              </w:rPr>
              <w:tab/>
              <w:t>על החלטות כאמור בסעיף קטן (ב) ניתן להגיש ערר בתוך 45 ימים לפקיד היערות הראשי במשרד החקלאות ופיתוח הכפר; במקרה של הגשת ערר ידחה מועד מתן הרישיון עד לאחר מתן החלטה סופית בערר."</w:t>
            </w:r>
          </w:p>
        </w:tc>
      </w:tr>
      <w:tr w:rsidR="009C7873" w14:paraId="154C62E3" w14:textId="77777777" w:rsidTr="003B6C7D">
        <w:trPr>
          <w:cantSplit/>
        </w:trPr>
        <w:tc>
          <w:tcPr>
            <w:tcW w:w="1871" w:type="dxa"/>
            <w:hideMark/>
          </w:tcPr>
          <w:p w14:paraId="7BCD4C57" w14:textId="77777777" w:rsidR="009C7873" w:rsidRDefault="009C7873" w:rsidP="003B6C7D">
            <w:pPr>
              <w:pStyle w:val="TableSideHeading"/>
              <w:keepLines w:val="0"/>
              <w:rPr>
                <w:sz w:val="26"/>
                <w:rtl/>
              </w:rPr>
            </w:pPr>
            <w:r>
              <w:rPr>
                <w:rtl/>
              </w:rPr>
              <w:t>תיקון סעיף 15א</w:t>
            </w:r>
          </w:p>
        </w:tc>
        <w:tc>
          <w:tcPr>
            <w:tcW w:w="624" w:type="dxa"/>
            <w:hideMark/>
          </w:tcPr>
          <w:p w14:paraId="0DF6B253" w14:textId="77777777" w:rsidR="009C7873" w:rsidRDefault="009C7873" w:rsidP="003B6C7D">
            <w:pPr>
              <w:pStyle w:val="TableText"/>
              <w:rPr>
                <w:rtl/>
              </w:rPr>
            </w:pPr>
            <w:r>
              <w:rPr>
                <w:rtl/>
              </w:rPr>
              <w:t>2.</w:t>
            </w:r>
          </w:p>
        </w:tc>
        <w:tc>
          <w:tcPr>
            <w:tcW w:w="7147" w:type="dxa"/>
            <w:hideMark/>
          </w:tcPr>
          <w:p w14:paraId="4C23D26C" w14:textId="77777777" w:rsidR="009C7873" w:rsidRDefault="009C7873" w:rsidP="003B6C7D">
            <w:pPr>
              <w:pStyle w:val="TableBlock"/>
              <w:rPr>
                <w:rtl/>
              </w:rPr>
            </w:pPr>
            <w:r>
              <w:rPr>
                <w:rtl/>
              </w:rPr>
              <w:t>בסעיף 15א לפקודה, אחרי סעיף קטן (א) יבוא:</w:t>
            </w:r>
          </w:p>
        </w:tc>
      </w:tr>
      <w:tr w:rsidR="009C7873" w14:paraId="63824911" w14:textId="77777777" w:rsidTr="003B6C7D">
        <w:trPr>
          <w:cantSplit/>
        </w:trPr>
        <w:tc>
          <w:tcPr>
            <w:tcW w:w="1871" w:type="dxa"/>
          </w:tcPr>
          <w:p w14:paraId="2E7A564A" w14:textId="77777777" w:rsidR="009C7873" w:rsidRDefault="009C7873" w:rsidP="003B6C7D">
            <w:pPr>
              <w:pStyle w:val="TableSideHeading"/>
              <w:keepLines w:val="0"/>
              <w:rPr>
                <w:rtl/>
              </w:rPr>
            </w:pPr>
          </w:p>
        </w:tc>
        <w:tc>
          <w:tcPr>
            <w:tcW w:w="624" w:type="dxa"/>
          </w:tcPr>
          <w:p w14:paraId="264D14B9" w14:textId="77777777" w:rsidR="009C7873" w:rsidRDefault="009C7873" w:rsidP="003B6C7D">
            <w:pPr>
              <w:pStyle w:val="TableText"/>
              <w:rPr>
                <w:rtl/>
              </w:rPr>
            </w:pPr>
          </w:p>
        </w:tc>
        <w:tc>
          <w:tcPr>
            <w:tcW w:w="7147" w:type="dxa"/>
            <w:hideMark/>
          </w:tcPr>
          <w:p w14:paraId="7620CDC1" w14:textId="77777777" w:rsidR="009C7873" w:rsidRDefault="009C7873" w:rsidP="003B6C7D">
            <w:pPr>
              <w:pStyle w:val="TableBlock"/>
              <w:rPr>
                <w:rtl/>
              </w:rPr>
            </w:pPr>
            <w:r>
              <w:rPr>
                <w:rtl/>
              </w:rPr>
              <w:t>"(א1)</w:t>
            </w:r>
            <w:r>
              <w:rPr>
                <w:rtl/>
              </w:rPr>
              <w:tab/>
              <w:t>בזמן ביצוע הכריתה או ההעתקה, יחזיק מקבל הרישיון את הרישיון בחזקתו, ויציגו לכל דורש."</w:t>
            </w:r>
          </w:p>
        </w:tc>
      </w:tr>
      <w:tr w:rsidR="009C7873" w14:paraId="02E81321" w14:textId="77777777" w:rsidTr="003B6C7D">
        <w:trPr>
          <w:cantSplit/>
        </w:trPr>
        <w:tc>
          <w:tcPr>
            <w:tcW w:w="1871" w:type="dxa"/>
            <w:hideMark/>
          </w:tcPr>
          <w:p w14:paraId="1839F702" w14:textId="77777777" w:rsidR="009C7873" w:rsidRDefault="009C7873" w:rsidP="003B6C7D">
            <w:pPr>
              <w:pStyle w:val="TableSideHeading"/>
              <w:keepLines w:val="0"/>
              <w:rPr>
                <w:rtl/>
              </w:rPr>
            </w:pPr>
            <w:r>
              <w:rPr>
                <w:rtl/>
              </w:rPr>
              <w:t>תיקון חוק התכנון והבנייה</w:t>
            </w:r>
          </w:p>
        </w:tc>
        <w:tc>
          <w:tcPr>
            <w:tcW w:w="624" w:type="dxa"/>
            <w:hideMark/>
          </w:tcPr>
          <w:p w14:paraId="02C5B570" w14:textId="77777777" w:rsidR="009C7873" w:rsidRDefault="009C7873" w:rsidP="003B6C7D">
            <w:pPr>
              <w:pStyle w:val="TableText"/>
              <w:keepLines w:val="0"/>
              <w:rPr>
                <w:rtl/>
              </w:rPr>
            </w:pPr>
            <w:r>
              <w:rPr>
                <w:rtl/>
              </w:rPr>
              <w:t>3.</w:t>
            </w:r>
          </w:p>
        </w:tc>
        <w:tc>
          <w:tcPr>
            <w:tcW w:w="7147" w:type="dxa"/>
            <w:hideMark/>
          </w:tcPr>
          <w:p w14:paraId="75CE3585" w14:textId="77777777" w:rsidR="009C7873" w:rsidRDefault="009C7873" w:rsidP="003B6C7D">
            <w:pPr>
              <w:pStyle w:val="TableBlock"/>
            </w:pPr>
            <w:r>
              <w:rPr>
                <w:sz w:val="26"/>
                <w:rtl/>
              </w:rPr>
              <w:t>בחוק התכנון והבנייה, התשכ"ה–1965</w:t>
            </w:r>
            <w:r>
              <w:rPr>
                <w:rStyle w:val="a6"/>
                <w:sz w:val="26"/>
                <w:rtl/>
              </w:rPr>
              <w:footnoteReference w:id="3"/>
            </w:r>
            <w:r>
              <w:rPr>
                <w:sz w:val="26"/>
                <w:rtl/>
              </w:rPr>
              <w:t>, בסעיף 83ג –</w:t>
            </w:r>
          </w:p>
        </w:tc>
      </w:tr>
      <w:tr w:rsidR="009C7873" w14:paraId="4145BB2E" w14:textId="77777777" w:rsidTr="003B6C7D">
        <w:trPr>
          <w:cantSplit/>
        </w:trPr>
        <w:tc>
          <w:tcPr>
            <w:tcW w:w="1871" w:type="dxa"/>
          </w:tcPr>
          <w:p w14:paraId="1C327B15" w14:textId="77777777" w:rsidR="009C7873" w:rsidRDefault="009C7873" w:rsidP="003B6C7D">
            <w:pPr>
              <w:pStyle w:val="TableSideHeading"/>
              <w:keepLines w:val="0"/>
              <w:rPr>
                <w:rtl/>
              </w:rPr>
            </w:pPr>
          </w:p>
        </w:tc>
        <w:tc>
          <w:tcPr>
            <w:tcW w:w="624" w:type="dxa"/>
          </w:tcPr>
          <w:p w14:paraId="57A8A0E8" w14:textId="77777777" w:rsidR="009C7873" w:rsidRDefault="009C7873" w:rsidP="003B6C7D">
            <w:pPr>
              <w:pStyle w:val="TableText"/>
              <w:rPr>
                <w:rtl/>
              </w:rPr>
            </w:pPr>
          </w:p>
        </w:tc>
        <w:tc>
          <w:tcPr>
            <w:tcW w:w="7147" w:type="dxa"/>
            <w:hideMark/>
          </w:tcPr>
          <w:p w14:paraId="7B31D1AC" w14:textId="77777777" w:rsidR="009C7873" w:rsidRDefault="009C7873" w:rsidP="003B6C7D">
            <w:pPr>
              <w:pStyle w:val="TableBlock"/>
              <w:rPr>
                <w:sz w:val="26"/>
                <w:rtl/>
              </w:rPr>
            </w:pPr>
            <w:r>
              <w:rPr>
                <w:sz w:val="26"/>
                <w:rtl/>
              </w:rPr>
              <w:t>(1)</w:t>
            </w:r>
            <w:r>
              <w:rPr>
                <w:sz w:val="26"/>
                <w:rtl/>
              </w:rPr>
              <w:tab/>
              <w:t>בסעיף קטן (ב), במקום "באופן שיקבע שר האוצר" יבוא "ועצים שצפויים להיפגע כתוצאה מביצוע התכנית יסומנו בסימון נפרד, הכל כפי שיקבע שר האוצר.";</w:t>
            </w:r>
          </w:p>
        </w:tc>
      </w:tr>
      <w:tr w:rsidR="009C7873" w14:paraId="5DA8427C" w14:textId="77777777" w:rsidTr="003B6C7D">
        <w:trPr>
          <w:cantSplit/>
        </w:trPr>
        <w:tc>
          <w:tcPr>
            <w:tcW w:w="1871" w:type="dxa"/>
          </w:tcPr>
          <w:p w14:paraId="2B2AABC1" w14:textId="77777777" w:rsidR="009C7873" w:rsidRDefault="009C7873" w:rsidP="003B6C7D">
            <w:pPr>
              <w:pStyle w:val="TableSideHeading"/>
              <w:keepLines w:val="0"/>
              <w:rPr>
                <w:rtl/>
              </w:rPr>
            </w:pPr>
          </w:p>
        </w:tc>
        <w:tc>
          <w:tcPr>
            <w:tcW w:w="624" w:type="dxa"/>
          </w:tcPr>
          <w:p w14:paraId="1F0BCF00" w14:textId="77777777" w:rsidR="009C7873" w:rsidRDefault="009C7873" w:rsidP="003B6C7D">
            <w:pPr>
              <w:pStyle w:val="TableText"/>
              <w:rPr>
                <w:rtl/>
              </w:rPr>
            </w:pPr>
          </w:p>
        </w:tc>
        <w:tc>
          <w:tcPr>
            <w:tcW w:w="7147" w:type="dxa"/>
            <w:hideMark/>
          </w:tcPr>
          <w:p w14:paraId="2310FC35" w14:textId="77777777" w:rsidR="009C7873" w:rsidRDefault="009C7873" w:rsidP="003B6C7D">
            <w:pPr>
              <w:pStyle w:val="TableBlock"/>
              <w:rPr>
                <w:sz w:val="26"/>
                <w:rtl/>
              </w:rPr>
            </w:pPr>
            <w:r>
              <w:rPr>
                <w:sz w:val="26"/>
                <w:rtl/>
              </w:rPr>
              <w:t>(2)</w:t>
            </w:r>
            <w:r>
              <w:rPr>
                <w:sz w:val="26"/>
                <w:rtl/>
              </w:rPr>
              <w:tab/>
              <w:t>בסעיף קטן (ג), במקום "</w:t>
            </w:r>
            <w:r>
              <w:rPr>
                <w:rFonts w:hint="cs"/>
                <w:sz w:val="26"/>
                <w:rtl/>
              </w:rPr>
              <w:t xml:space="preserve">במסגרת </w:t>
            </w:r>
            <w:r>
              <w:rPr>
                <w:sz w:val="26"/>
                <w:rtl/>
              </w:rPr>
              <w:t>מכלול השיקולים התכנוניים" יבוא "ולא תופקד תכנית כאמור אלא לאחר שהתקיימו הוראות סעיפים 15 ו-15א לפקודת היערות, והתנאים שקבע פקיד היערות ברישיון מכוח סעיפים אלו הוטמעו בהוראות התכנית."</w:t>
            </w:r>
          </w:p>
        </w:tc>
      </w:tr>
    </w:tbl>
    <w:p w14:paraId="7F6961CA" w14:textId="77777777" w:rsidR="002D1EE3" w:rsidRDefault="002D1EE3" w:rsidP="002D1EE3">
      <w:pPr>
        <w:pStyle w:val="HeadDivreiHesber"/>
        <w:rPr>
          <w:rtl/>
        </w:rPr>
      </w:pPr>
      <w:r w:rsidRPr="0027450A">
        <w:rPr>
          <w:rFonts w:hint="cs"/>
          <w:rtl/>
        </w:rPr>
        <w:t>דברי הסבר</w:t>
      </w:r>
    </w:p>
    <w:p w14:paraId="7FDB156D" w14:textId="77777777" w:rsidR="009C7873" w:rsidRPr="00C95E32" w:rsidRDefault="009C7873" w:rsidP="009C7873">
      <w:pPr>
        <w:pStyle w:val="Hesber1st"/>
        <w:tabs>
          <w:tab w:val="clear" w:pos="680"/>
        </w:tabs>
        <w:rPr>
          <w:rtl/>
        </w:rPr>
      </w:pPr>
      <w:r w:rsidRPr="00C95E32">
        <w:rPr>
          <w:rtl/>
        </w:rPr>
        <w:t>מטרתה של הצעה זו לשפר את ההגנה הניתנת לעצים בוגרים ולאילנות, תוך שמירת האיזון בין אינטרס ההגנה על העצים לבין אינטרסים מנוגדים, לרבות באמצעות יידוע הציבור הרחב בנוגע לזכויותיו לשמירת העצים הנתונים בסכנה, והבטחת מימוש הוראות פקודת היערות במסגרת הליכי התכנון.</w:t>
      </w:r>
    </w:p>
    <w:p w14:paraId="12D1E4F8" w14:textId="77777777" w:rsidR="009C7873" w:rsidRPr="00C95E32" w:rsidRDefault="009C7873" w:rsidP="009C7873">
      <w:pPr>
        <w:pStyle w:val="Hesber"/>
        <w:rPr>
          <w:rtl/>
        </w:rPr>
      </w:pPr>
      <w:r w:rsidRPr="00C95E32">
        <w:rPr>
          <w:rtl/>
        </w:rPr>
        <w:t>כידוע, לעצים בוגרים תפקיד חשוב ביותר בסביבת החיים האנושית, הן במתן צל במדינה שהשמש קופחת בה לפחות מחצית מהשנה, הן בתרומה ויזואלית של "ירוק בעיניים" במיוחד בנופים האורבניים המתכסים אספלט ובטון, והן, כפי שמלמדים מחקרים שונים, בתרומתם לבריאות ולאיזון הנפשיים של בני האדם שחיים בקרבתם.</w:t>
      </w:r>
    </w:p>
    <w:p w14:paraId="1949C700" w14:textId="77777777" w:rsidR="009C7873" w:rsidRPr="00C95E32" w:rsidRDefault="009C7873" w:rsidP="009C7873">
      <w:pPr>
        <w:pStyle w:val="Hesber"/>
        <w:rPr>
          <w:rtl/>
        </w:rPr>
      </w:pPr>
      <w:r w:rsidRPr="00C95E32">
        <w:rPr>
          <w:rtl/>
        </w:rPr>
        <w:t xml:space="preserve">למרות ההוראות הברורות הקיימות בעניין זה בפקודת היערות, בשנים האחרונות אנו נתקלים שוב ושוב במקרים בהם נכרתים עצים ללא הצדקה נראית לעין, או שתכנון וגיבוש תכניות פיתוח אינם לוקחים די בחשבון את הצורך בשמירה על עצים ותיקים ונותני צל. </w:t>
      </w:r>
    </w:p>
    <w:p w14:paraId="3E641AB9" w14:textId="77777777" w:rsidR="009C7873" w:rsidRPr="00C95E32" w:rsidRDefault="009C7873" w:rsidP="009C7873">
      <w:pPr>
        <w:pStyle w:val="Hesber"/>
        <w:rPr>
          <w:rtl/>
        </w:rPr>
      </w:pPr>
      <w:r w:rsidRPr="00C95E32">
        <w:rPr>
          <w:rtl/>
        </w:rPr>
        <w:t>אחת הדרכים החשובות לאזן בין האינטרס של שמירת העצים לבין אינטרסים שונים שמביאים לפגיעה בהם, היא להבטיח את יידוע הציבור הרחב בנוגע לזכויותיו לשמירת העצים הנתונים בסכנה. לשם כך מוצע ליידע את הציבור מראש בנוגע לכוונה לפגוע בעצים, וזאת תוך סימון העצים שמבוקש לכרות אותם, הצבת הודעה ברורה בשטח המיידעת את האזרחים בנוגע לזכותם להגיש ערר נגד הכריתה, וכן קביעה ברורה שאין לפגוע בעץ כל עוד לא ניתנה החלטה סופית בעניינו של פקיד היערות הממונה על כך.</w:t>
      </w:r>
    </w:p>
    <w:p w14:paraId="21620F3D" w14:textId="77777777" w:rsidR="009C7873" w:rsidRPr="00C95E32" w:rsidRDefault="009C7873" w:rsidP="009C7873">
      <w:pPr>
        <w:pStyle w:val="Hesber"/>
        <w:rPr>
          <w:rtl/>
        </w:rPr>
      </w:pPr>
      <w:r w:rsidRPr="00C95E32">
        <w:rPr>
          <w:rtl/>
        </w:rPr>
        <w:t>בנוסף, כדי להבטיח את ההתאמה הנדרשת בין חוק התכנון והבנייה לבין פקודת היערות, מוצע לתקן בתיקון עקיף את סעיף 83ג לחוק התכנון והבנייה, המסדיר את התכנון הנוגע לעצים, כך שיהיה ברור שגם בהליכי תכנון חלה חובה לקיים את הוראות פקודת היערות. נוסח הסעיף הנוכחי לא רק שאינו מבטיח זאת, אלא אף יוצר אי בהירות שעלולה להיות מנוצלת לרעה. התוצאה היא שלא פעם מתבקשים פקידי היערות לאשר כריתת עצים מכוח תכנית שכבר אושרה, דבר שפוגע בעצמאות שיקול הדעת שעליהם להפעיל מכח סעיף 15א לפקודת היערות. הבטחת הזיקה בין שני החיקוקים כפי שמוצע אמורה לפתור בעיה זו ולהבטיח לעצים את ההגנה הנאותה שהם – וכלל הציבור הנהנה מהם – ראויים לה.</w:t>
      </w:r>
    </w:p>
    <w:p w14:paraId="7EE0A06C" w14:textId="18FDDCEB" w:rsidR="009C7873" w:rsidRDefault="009C7873" w:rsidP="009C7873">
      <w:pPr>
        <w:pStyle w:val="Hesber"/>
        <w:rPr>
          <w:rtl/>
        </w:rPr>
      </w:pPr>
      <w:r w:rsidRPr="00C95E32">
        <w:rPr>
          <w:rFonts w:hint="cs"/>
          <w:rtl/>
        </w:rPr>
        <w:t>הצע</w:t>
      </w:r>
      <w:r>
        <w:rPr>
          <w:rFonts w:hint="cs"/>
          <w:rtl/>
        </w:rPr>
        <w:t>ו</w:t>
      </w:r>
      <w:r w:rsidRPr="00C95E32">
        <w:rPr>
          <w:rFonts w:hint="cs"/>
          <w:rtl/>
        </w:rPr>
        <w:t>ת חוק זה</w:t>
      </w:r>
      <w:r>
        <w:rPr>
          <w:rFonts w:hint="cs"/>
          <w:rtl/>
        </w:rPr>
        <w:t>ות</w:t>
      </w:r>
      <w:r w:rsidRPr="00C95E32">
        <w:rPr>
          <w:rFonts w:hint="cs"/>
          <w:rtl/>
        </w:rPr>
        <w:t xml:space="preserve"> הונח</w:t>
      </w:r>
      <w:r>
        <w:rPr>
          <w:rFonts w:hint="cs"/>
          <w:rtl/>
        </w:rPr>
        <w:t>ו</w:t>
      </w:r>
      <w:r w:rsidRPr="00C95E32">
        <w:rPr>
          <w:rFonts w:hint="cs"/>
          <w:rtl/>
        </w:rPr>
        <w:t xml:space="preserve"> על שולחן הכנסת העשרים על ידי חברת הכנסת יעל גרמן וקבוצת חברי הכנסת (פ/5656/20)</w:t>
      </w:r>
      <w:r>
        <w:rPr>
          <w:rFonts w:hint="cs"/>
          <w:rtl/>
        </w:rPr>
        <w:t>,</w:t>
      </w:r>
      <w:r w:rsidR="009B0402">
        <w:rPr>
          <w:rFonts w:hint="cs"/>
          <w:rtl/>
        </w:rPr>
        <w:t xml:space="preserve"> </w:t>
      </w:r>
      <w:r w:rsidRPr="00C95E32">
        <w:rPr>
          <w:rFonts w:hint="cs"/>
          <w:rtl/>
        </w:rPr>
        <w:t>על שולחן הכנסת העשרים ואחת על ידי חברות הכנסת יעל גרמן ומיקי חיימוביץ</w:t>
      </w:r>
      <w:r>
        <w:rPr>
          <w:rFonts w:hint="cs"/>
          <w:rtl/>
        </w:rPr>
        <w:t>'</w:t>
      </w:r>
      <w:r w:rsidRPr="00C95E32">
        <w:rPr>
          <w:rFonts w:hint="cs"/>
          <w:rtl/>
        </w:rPr>
        <w:t xml:space="preserve"> (פ/304/21)</w:t>
      </w:r>
      <w:r>
        <w:rPr>
          <w:rFonts w:hint="cs"/>
          <w:rtl/>
        </w:rPr>
        <w:t xml:space="preserve"> ועל שולחן הכנסת העשרים ושתיים על ידי חברות הכנסת יעל גרמן ומיקי חיימוביץ' (פ/40/22)</w:t>
      </w:r>
      <w:r w:rsidRPr="00C95E32">
        <w:rPr>
          <w:rFonts w:hint="cs"/>
          <w:rtl/>
        </w:rPr>
        <w:t>.</w:t>
      </w:r>
    </w:p>
    <w:p w14:paraId="11F34118" w14:textId="77777777" w:rsidR="001F6FBF" w:rsidRPr="00A83796" w:rsidRDefault="001F6FBF" w:rsidP="001F6FBF">
      <w:pPr>
        <w:pStyle w:val="Hesber"/>
        <w:rPr>
          <w:rtl/>
        </w:rPr>
      </w:pPr>
      <w:r w:rsidRPr="00A83796">
        <w:rPr>
          <w:rtl/>
        </w:rPr>
        <w:t>---------------------------------</w:t>
      </w:r>
    </w:p>
    <w:p w14:paraId="3C14F509" w14:textId="77777777" w:rsidR="001F6FBF" w:rsidRPr="00A83796" w:rsidRDefault="001F6FBF" w:rsidP="001F6FBF">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0B092068" w14:textId="77777777" w:rsidR="001F6FBF" w:rsidRPr="00A83796" w:rsidRDefault="001F6FBF" w:rsidP="001F6FBF">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782CE9DA" w14:textId="77777777" w:rsidR="001F6FBF" w:rsidRPr="00A83796" w:rsidRDefault="001F6FBF" w:rsidP="001F6FBF">
      <w:pPr>
        <w:pStyle w:val="Hesber"/>
        <w:rPr>
          <w:rtl/>
        </w:rPr>
      </w:pPr>
      <w:r>
        <w:rPr>
          <w:rFonts w:hint="cs"/>
          <w:rtl/>
        </w:rPr>
        <w:t xml:space="preserve">י' באייר </w:t>
      </w:r>
      <w:r>
        <w:rPr>
          <w:rtl/>
        </w:rPr>
        <w:t xml:space="preserve">התש"ף – </w:t>
      </w:r>
      <w:r>
        <w:rPr>
          <w:rFonts w:hint="cs"/>
          <w:rtl/>
        </w:rPr>
        <w:t>4</w:t>
      </w:r>
      <w:r>
        <w:rPr>
          <w:rtl/>
        </w:rPr>
        <w:t>.</w:t>
      </w:r>
      <w:r>
        <w:rPr>
          <w:rFonts w:hint="cs"/>
          <w:rtl/>
        </w:rPr>
        <w:t>5</w:t>
      </w:r>
      <w:r>
        <w:rPr>
          <w:rtl/>
        </w:rPr>
        <w:t>.20</w:t>
      </w:r>
    </w:p>
    <w:sectPr w:rsidR="001F6FBF" w:rsidRPr="00A83796"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EF75E4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0150D">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B0B88F5" w14:textId="77777777" w:rsidR="009C7873" w:rsidRDefault="009C7873" w:rsidP="009C7873">
      <w:pPr>
        <w:pStyle w:val="a4"/>
        <w:rPr>
          <w:rtl/>
        </w:rPr>
      </w:pPr>
      <w:r>
        <w:rPr>
          <w:rStyle w:val="a6"/>
        </w:rPr>
        <w:footnoteRef/>
      </w:r>
      <w:r>
        <w:rPr>
          <w:rtl/>
        </w:rPr>
        <w:t xml:space="preserve"> חוקי א"י, כרך א', עמ' (ע) 600, (א) 710.</w:t>
      </w:r>
    </w:p>
  </w:footnote>
  <w:footnote w:id="3">
    <w:p w14:paraId="2491E6CA" w14:textId="77777777" w:rsidR="009C7873" w:rsidRDefault="009C7873" w:rsidP="009C7873">
      <w:pPr>
        <w:pStyle w:val="a4"/>
        <w:rPr>
          <w:rtl/>
        </w:rPr>
      </w:pPr>
      <w:r>
        <w:rPr>
          <w:rStyle w:val="a6"/>
        </w:rPr>
        <w:footnoteRef/>
      </w:r>
      <w:r>
        <w:rPr>
          <w:rtl/>
        </w:rPr>
        <w:t xml:space="preserve"> </w:t>
      </w:r>
      <w:r>
        <w:rPr>
          <w:rFonts w:hint="cs"/>
          <w:rtl/>
        </w:rPr>
        <w:t>ס"ח התשכ"ה, עמ' 307.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085C"/>
    <w:rsid w:val="00072CAC"/>
    <w:rsid w:val="0007681A"/>
    <w:rsid w:val="000A542E"/>
    <w:rsid w:val="00102B6B"/>
    <w:rsid w:val="001052D4"/>
    <w:rsid w:val="0010644B"/>
    <w:rsid w:val="001207F8"/>
    <w:rsid w:val="00121924"/>
    <w:rsid w:val="001279A8"/>
    <w:rsid w:val="0014195F"/>
    <w:rsid w:val="00152609"/>
    <w:rsid w:val="00153E1B"/>
    <w:rsid w:val="00157BC7"/>
    <w:rsid w:val="001A0623"/>
    <w:rsid w:val="001C23B0"/>
    <w:rsid w:val="001D7AAF"/>
    <w:rsid w:val="001F6FB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2267"/>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B0402"/>
    <w:rsid w:val="009C7873"/>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5AC"/>
    <w:rsid w:val="00E55A60"/>
    <w:rsid w:val="00E62778"/>
    <w:rsid w:val="00E635A2"/>
    <w:rsid w:val="00E63D38"/>
    <w:rsid w:val="00E665B9"/>
    <w:rsid w:val="00EA01E6"/>
    <w:rsid w:val="00EA3DE8"/>
    <w:rsid w:val="00EA758F"/>
    <w:rsid w:val="00ED4A6F"/>
    <w:rsid w:val="00EF3A3A"/>
    <w:rsid w:val="00F0150D"/>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F4E2120-A02B-4B67-8807-83E41A0D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9C7873"/>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410BB0F-2F65-41DE-8C05-D97B7D4E9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E30220-C0BB-48FD-B81E-C2BB8B58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643</Words>
  <Characters>3219</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11</cp:revision>
  <cp:lastPrinted>2013-07-04T08:25:00Z</cp:lastPrinted>
  <dcterms:created xsi:type="dcterms:W3CDTF">2015-04-20T09:58:00Z</dcterms:created>
  <dcterms:modified xsi:type="dcterms:W3CDTF">2020-05-01T13:26:00Z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2085960</vt:r8>
  </property>
</Properties>
</file>